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0F" w:rsidRPr="0049390F" w:rsidRDefault="001C306B" w:rsidP="00AE753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Az évjáratok hatás</w:t>
      </w:r>
      <w:r w:rsidR="00F82D4F">
        <w:rPr>
          <w:rFonts w:ascii="Times New Roman" w:hAnsi="Times New Roman"/>
          <w:b/>
          <w:sz w:val="32"/>
          <w:szCs w:val="32"/>
        </w:rPr>
        <w:t xml:space="preserve">a </w:t>
      </w:r>
      <w:r w:rsidR="00C67F0E">
        <w:rPr>
          <w:rFonts w:ascii="Times New Roman" w:hAnsi="Times New Roman"/>
          <w:b/>
          <w:sz w:val="32"/>
          <w:szCs w:val="32"/>
        </w:rPr>
        <w:t xml:space="preserve">a </w:t>
      </w:r>
      <w:r w:rsidR="00A72102">
        <w:rPr>
          <w:rFonts w:ascii="Times New Roman" w:hAnsi="Times New Roman"/>
          <w:b/>
          <w:sz w:val="32"/>
          <w:szCs w:val="32"/>
        </w:rPr>
        <w:t>faszöveti</w:t>
      </w:r>
      <w:r w:rsidR="0049390F" w:rsidRPr="0049390F">
        <w:rPr>
          <w:rFonts w:ascii="Times New Roman" w:hAnsi="Times New Roman"/>
          <w:b/>
          <w:sz w:val="32"/>
          <w:szCs w:val="32"/>
        </w:rPr>
        <w:t xml:space="preserve"> betegség</w:t>
      </w:r>
      <w:r w:rsidR="0060556A">
        <w:rPr>
          <w:rFonts w:ascii="Times New Roman" w:hAnsi="Times New Roman"/>
          <w:b/>
          <w:sz w:val="32"/>
          <w:szCs w:val="32"/>
        </w:rPr>
        <w:t>ek</w:t>
      </w:r>
      <w:r w:rsidR="0049390F" w:rsidRPr="0049390F">
        <w:rPr>
          <w:rFonts w:ascii="Times New Roman" w:hAnsi="Times New Roman"/>
          <w:b/>
          <w:sz w:val="32"/>
          <w:szCs w:val="32"/>
        </w:rPr>
        <w:t xml:space="preserve"> tüneteinek </w:t>
      </w:r>
      <w:r w:rsidR="00F82D4F">
        <w:rPr>
          <w:rFonts w:ascii="Times New Roman" w:hAnsi="Times New Roman"/>
          <w:b/>
          <w:sz w:val="32"/>
          <w:szCs w:val="32"/>
        </w:rPr>
        <w:t>jelentkezésére</w:t>
      </w:r>
      <w:r w:rsidR="00C67F0E">
        <w:rPr>
          <w:rFonts w:ascii="Times New Roman" w:hAnsi="Times New Roman"/>
          <w:b/>
          <w:sz w:val="32"/>
          <w:szCs w:val="32"/>
        </w:rPr>
        <w:t>, különböző szőlőfajtákon</w:t>
      </w:r>
      <w:r w:rsidR="0049390F" w:rsidRPr="0049390F">
        <w:rPr>
          <w:rFonts w:ascii="Times New Roman" w:hAnsi="Times New Roman"/>
          <w:b/>
          <w:sz w:val="32"/>
          <w:szCs w:val="32"/>
        </w:rPr>
        <w:t xml:space="preserve"> </w:t>
      </w:r>
    </w:p>
    <w:p w:rsidR="00B73B0B" w:rsidRDefault="00B73B0B" w:rsidP="00AE753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9390F" w:rsidRPr="00852544" w:rsidRDefault="00AE7539" w:rsidP="00AE7539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Jakab Maria</w:t>
      </w:r>
      <w:r w:rsidR="00B23377">
        <w:rPr>
          <w:rFonts w:ascii="Times New Roman" w:hAnsi="Times New Roman"/>
          <w:b/>
          <w:i/>
          <w:sz w:val="28"/>
          <w:szCs w:val="28"/>
        </w:rPr>
        <w:t>n</w:t>
      </w:r>
      <w:r>
        <w:rPr>
          <w:rFonts w:ascii="Times New Roman" w:hAnsi="Times New Roman"/>
          <w:b/>
          <w:i/>
          <w:sz w:val="28"/>
          <w:szCs w:val="28"/>
        </w:rPr>
        <w:t>n</w:t>
      </w:r>
      <w:r w:rsidR="00E12BE8">
        <w:rPr>
          <w:rFonts w:ascii="Times New Roman" w:hAnsi="Times New Roman"/>
          <w:b/>
          <w:i/>
          <w:sz w:val="28"/>
          <w:szCs w:val="28"/>
        </w:rPr>
        <w:t>*</w:t>
      </w:r>
      <w:r w:rsidR="001070C5">
        <w:rPr>
          <w:rFonts w:ascii="Times New Roman" w:hAnsi="Times New Roman"/>
          <w:b/>
          <w:i/>
          <w:sz w:val="28"/>
          <w:szCs w:val="28"/>
        </w:rPr>
        <w:t>, Werner János</w:t>
      </w:r>
      <w:r w:rsidR="0049390F" w:rsidRPr="00852544">
        <w:rPr>
          <w:rFonts w:ascii="Times New Roman" w:hAnsi="Times New Roman"/>
          <w:b/>
          <w:i/>
          <w:sz w:val="28"/>
          <w:szCs w:val="28"/>
        </w:rPr>
        <w:t xml:space="preserve"> és </w:t>
      </w:r>
      <w:proofErr w:type="spellStart"/>
      <w:r w:rsidR="0049390F" w:rsidRPr="00852544">
        <w:rPr>
          <w:rFonts w:ascii="Times New Roman" w:hAnsi="Times New Roman"/>
          <w:b/>
          <w:i/>
          <w:sz w:val="28"/>
          <w:szCs w:val="28"/>
        </w:rPr>
        <w:t>Csikász-Krizsics</w:t>
      </w:r>
      <w:proofErr w:type="spellEnd"/>
      <w:r w:rsidR="0049390F" w:rsidRPr="00852544">
        <w:rPr>
          <w:rFonts w:ascii="Times New Roman" w:hAnsi="Times New Roman"/>
          <w:b/>
          <w:i/>
          <w:sz w:val="28"/>
          <w:szCs w:val="28"/>
        </w:rPr>
        <w:t xml:space="preserve"> Anna</w:t>
      </w:r>
    </w:p>
    <w:p w:rsidR="0049390F" w:rsidRPr="00852544" w:rsidRDefault="0049390F" w:rsidP="00AE7539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852544">
        <w:rPr>
          <w:rFonts w:ascii="Times New Roman" w:hAnsi="Times New Roman"/>
          <w:i/>
          <w:sz w:val="24"/>
          <w:szCs w:val="24"/>
        </w:rPr>
        <w:t xml:space="preserve">Pécsi Tudományegyetem Szőlészeti és Borászati Kutatóintézet, </w:t>
      </w:r>
    </w:p>
    <w:p w:rsidR="0049390F" w:rsidRPr="00852544" w:rsidRDefault="0049390F" w:rsidP="00AE7539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852544">
        <w:rPr>
          <w:rFonts w:ascii="Times New Roman" w:hAnsi="Times New Roman"/>
          <w:i/>
          <w:sz w:val="24"/>
          <w:szCs w:val="24"/>
        </w:rPr>
        <w:t>7634 Pécs</w:t>
      </w:r>
      <w:r w:rsidR="00AE7539">
        <w:rPr>
          <w:rFonts w:ascii="Times New Roman" w:hAnsi="Times New Roman"/>
          <w:i/>
          <w:sz w:val="24"/>
          <w:szCs w:val="24"/>
        </w:rPr>
        <w:t>,</w:t>
      </w:r>
      <w:r w:rsidRPr="00852544">
        <w:rPr>
          <w:rFonts w:ascii="Times New Roman" w:hAnsi="Times New Roman"/>
          <w:i/>
          <w:sz w:val="24"/>
          <w:szCs w:val="24"/>
        </w:rPr>
        <w:t xml:space="preserve"> Pázmány Péter utca 4</w:t>
      </w:r>
      <w:proofErr w:type="gramStart"/>
      <w:r w:rsidRPr="00852544">
        <w:rPr>
          <w:rFonts w:ascii="Times New Roman" w:hAnsi="Times New Roman"/>
          <w:i/>
          <w:sz w:val="24"/>
          <w:szCs w:val="24"/>
        </w:rPr>
        <w:t>.,</w:t>
      </w:r>
      <w:proofErr w:type="gramEnd"/>
      <w:r w:rsidRPr="0085254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*</w:t>
      </w:r>
      <w:r w:rsidR="00416E82">
        <w:rPr>
          <w:rFonts w:ascii="Times New Roman" w:hAnsi="Times New Roman"/>
          <w:i/>
          <w:sz w:val="24"/>
          <w:szCs w:val="24"/>
        </w:rPr>
        <w:t>e-mail: jakab.mariann@pte.hu</w:t>
      </w:r>
    </w:p>
    <w:p w:rsidR="0049390F" w:rsidRDefault="0049390F" w:rsidP="00AE753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9390F" w:rsidRDefault="0049390F" w:rsidP="00AE753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Összefoglalás</w:t>
      </w:r>
    </w:p>
    <w:p w:rsidR="00D6072A" w:rsidRDefault="00D6072A" w:rsidP="00AE753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1A7D" w:rsidRPr="00013BF0" w:rsidRDefault="00152F05" w:rsidP="00AE7539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F318B2">
        <w:rPr>
          <w:rFonts w:ascii="Times New Roman" w:hAnsi="Times New Roman"/>
          <w:sz w:val="24"/>
          <w:szCs w:val="24"/>
        </w:rPr>
        <w:t>szőlőtőkék</w:t>
      </w:r>
      <w:r>
        <w:rPr>
          <w:rFonts w:ascii="Times New Roman" w:hAnsi="Times New Roman"/>
          <w:sz w:val="24"/>
          <w:szCs w:val="24"/>
        </w:rPr>
        <w:t xml:space="preserve"> faszöveti </w:t>
      </w:r>
      <w:r w:rsidR="00F318B2">
        <w:rPr>
          <w:rFonts w:ascii="Times New Roman" w:hAnsi="Times New Roman"/>
          <w:sz w:val="24"/>
          <w:szCs w:val="24"/>
        </w:rPr>
        <w:t xml:space="preserve">betegségei világszerte </w:t>
      </w:r>
      <w:r w:rsidR="0018720F">
        <w:rPr>
          <w:rFonts w:ascii="Times New Roman" w:hAnsi="Times New Roman"/>
          <w:sz w:val="24"/>
          <w:szCs w:val="24"/>
        </w:rPr>
        <w:t>jelentős gazdasági kárt okoznak. A</w:t>
      </w:r>
      <w:r w:rsidR="00D97853">
        <w:rPr>
          <w:rFonts w:ascii="Times New Roman" w:hAnsi="Times New Roman"/>
          <w:sz w:val="24"/>
          <w:szCs w:val="24"/>
        </w:rPr>
        <w:t xml:space="preserve"> Pécsi Tudományegyetem Szőlészeti és Borászati Kutatóintézetében </w:t>
      </w:r>
      <w:r w:rsidR="009F1A7D">
        <w:rPr>
          <w:rFonts w:ascii="Times New Roman" w:hAnsi="Times New Roman"/>
          <w:sz w:val="24"/>
          <w:szCs w:val="24"/>
        </w:rPr>
        <w:t xml:space="preserve">Cabernet </w:t>
      </w:r>
      <w:proofErr w:type="spellStart"/>
      <w:r w:rsidR="009F1A7D">
        <w:rPr>
          <w:rFonts w:ascii="Times New Roman" w:hAnsi="Times New Roman"/>
          <w:sz w:val="24"/>
          <w:szCs w:val="24"/>
        </w:rPr>
        <w:t>sauvignon</w:t>
      </w:r>
      <w:proofErr w:type="spellEnd"/>
      <w:r w:rsidR="009F1A7D">
        <w:rPr>
          <w:rFonts w:ascii="Times New Roman" w:hAnsi="Times New Roman"/>
          <w:sz w:val="24"/>
          <w:szCs w:val="24"/>
        </w:rPr>
        <w:t>,</w:t>
      </w:r>
      <w:r w:rsidR="00D978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7853">
        <w:rPr>
          <w:rFonts w:ascii="Times New Roman" w:hAnsi="Times New Roman"/>
          <w:sz w:val="24"/>
          <w:szCs w:val="24"/>
        </w:rPr>
        <w:t>Merlot</w:t>
      </w:r>
      <w:proofErr w:type="spellEnd"/>
      <w:r w:rsidR="00D97853">
        <w:rPr>
          <w:rFonts w:ascii="Times New Roman" w:hAnsi="Times New Roman"/>
          <w:sz w:val="24"/>
          <w:szCs w:val="24"/>
        </w:rPr>
        <w:t xml:space="preserve"> </w:t>
      </w:r>
      <w:r w:rsidR="00341F7E">
        <w:rPr>
          <w:rFonts w:ascii="Times New Roman" w:hAnsi="Times New Roman"/>
          <w:sz w:val="24"/>
          <w:szCs w:val="24"/>
        </w:rPr>
        <w:t xml:space="preserve">és </w:t>
      </w:r>
      <w:r w:rsidR="00D97853">
        <w:rPr>
          <w:rFonts w:ascii="Times New Roman" w:hAnsi="Times New Roman"/>
          <w:sz w:val="24"/>
          <w:szCs w:val="24"/>
        </w:rPr>
        <w:t xml:space="preserve">Cirfandli </w:t>
      </w:r>
      <w:r w:rsidR="00341F7E">
        <w:rPr>
          <w:rFonts w:ascii="Times New Roman" w:hAnsi="Times New Roman"/>
          <w:sz w:val="24"/>
          <w:szCs w:val="24"/>
        </w:rPr>
        <w:t>fajtán</w:t>
      </w:r>
      <w:r w:rsidR="00C67F0E">
        <w:rPr>
          <w:rFonts w:ascii="Times New Roman" w:hAnsi="Times New Roman"/>
          <w:sz w:val="24"/>
          <w:szCs w:val="24"/>
        </w:rPr>
        <w:t>, három egymás</w:t>
      </w:r>
      <w:r w:rsidR="0019046E">
        <w:rPr>
          <w:rFonts w:ascii="Times New Roman" w:hAnsi="Times New Roman"/>
          <w:sz w:val="24"/>
          <w:szCs w:val="24"/>
        </w:rPr>
        <w:t>t</w:t>
      </w:r>
      <w:r w:rsidR="00C67F0E">
        <w:rPr>
          <w:rFonts w:ascii="Times New Roman" w:hAnsi="Times New Roman"/>
          <w:sz w:val="24"/>
          <w:szCs w:val="24"/>
        </w:rPr>
        <w:t xml:space="preserve"> követő és eltérő jellegű évben</w:t>
      </w:r>
      <w:r w:rsidR="00341F7E">
        <w:rPr>
          <w:rFonts w:ascii="Times New Roman" w:hAnsi="Times New Roman"/>
          <w:sz w:val="24"/>
          <w:szCs w:val="24"/>
        </w:rPr>
        <w:t xml:space="preserve"> </w:t>
      </w:r>
      <w:r w:rsidR="0018720F">
        <w:rPr>
          <w:rFonts w:ascii="Times New Roman" w:hAnsi="Times New Roman"/>
          <w:sz w:val="24"/>
          <w:szCs w:val="24"/>
        </w:rPr>
        <w:t xml:space="preserve">vizsgáltuk </w:t>
      </w:r>
      <w:r w:rsidR="00D97853">
        <w:rPr>
          <w:rFonts w:ascii="Times New Roman" w:hAnsi="Times New Roman"/>
          <w:sz w:val="24"/>
          <w:szCs w:val="24"/>
        </w:rPr>
        <w:t>a fajta és az évjárat hatását a tünet megjelenés gyakoriságára.</w:t>
      </w:r>
      <w:r w:rsidR="006F5521">
        <w:rPr>
          <w:rFonts w:ascii="Times New Roman" w:hAnsi="Times New Roman"/>
          <w:sz w:val="24"/>
          <w:szCs w:val="24"/>
        </w:rPr>
        <w:t xml:space="preserve"> </w:t>
      </w:r>
      <w:r w:rsidR="00515425">
        <w:rPr>
          <w:rFonts w:ascii="Times New Roman" w:hAnsi="Times New Roman"/>
          <w:sz w:val="24"/>
          <w:szCs w:val="24"/>
        </w:rPr>
        <w:t xml:space="preserve">A </w:t>
      </w:r>
      <w:r w:rsidR="005D2954">
        <w:rPr>
          <w:rFonts w:ascii="Times New Roman" w:hAnsi="Times New Roman"/>
          <w:sz w:val="24"/>
          <w:szCs w:val="24"/>
        </w:rPr>
        <w:t>legnagyobb tünet gyakoriság a</w:t>
      </w:r>
      <w:r w:rsidR="00982E54">
        <w:rPr>
          <w:rFonts w:ascii="Times New Roman" w:hAnsi="Times New Roman"/>
          <w:sz w:val="24"/>
          <w:szCs w:val="24"/>
        </w:rPr>
        <w:t xml:space="preserve"> 2014-es, csapadékos évet jellem</w:t>
      </w:r>
      <w:r w:rsidR="009451ED">
        <w:rPr>
          <w:rFonts w:ascii="Times New Roman" w:hAnsi="Times New Roman"/>
          <w:sz w:val="24"/>
          <w:szCs w:val="24"/>
        </w:rPr>
        <w:t>ezte</w:t>
      </w:r>
      <w:r w:rsidR="005D2954">
        <w:rPr>
          <w:rFonts w:ascii="Times New Roman" w:hAnsi="Times New Roman"/>
          <w:sz w:val="24"/>
          <w:szCs w:val="24"/>
        </w:rPr>
        <w:t xml:space="preserve">. </w:t>
      </w:r>
      <w:r w:rsidR="00D06DA2">
        <w:rPr>
          <w:rFonts w:ascii="Times New Roman" w:hAnsi="Times New Roman"/>
          <w:sz w:val="24"/>
          <w:szCs w:val="24"/>
        </w:rPr>
        <w:t>2015-</w:t>
      </w:r>
      <w:r w:rsidR="00982E54" w:rsidDel="00982E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295C">
        <w:rPr>
          <w:rFonts w:ascii="Times New Roman" w:hAnsi="Times New Roman"/>
          <w:sz w:val="24"/>
          <w:szCs w:val="24"/>
        </w:rPr>
        <w:t>ben</w:t>
      </w:r>
      <w:proofErr w:type="spellEnd"/>
      <w:r w:rsidR="00D06DA2">
        <w:rPr>
          <w:rFonts w:ascii="Times New Roman" w:hAnsi="Times New Roman"/>
          <w:sz w:val="24"/>
          <w:szCs w:val="24"/>
        </w:rPr>
        <w:t xml:space="preserve"> a </w:t>
      </w:r>
      <w:r w:rsidR="0097295C">
        <w:rPr>
          <w:rFonts w:ascii="Times New Roman" w:hAnsi="Times New Roman"/>
          <w:sz w:val="24"/>
          <w:szCs w:val="24"/>
        </w:rPr>
        <w:t>krónikus tünet megjelenés volt</w:t>
      </w:r>
      <w:r w:rsidR="00A801FE">
        <w:rPr>
          <w:rFonts w:ascii="Times New Roman" w:hAnsi="Times New Roman"/>
          <w:sz w:val="24"/>
          <w:szCs w:val="24"/>
        </w:rPr>
        <w:t xml:space="preserve"> </w:t>
      </w:r>
      <w:r w:rsidR="00703791">
        <w:rPr>
          <w:rFonts w:ascii="Times New Roman" w:hAnsi="Times New Roman"/>
          <w:sz w:val="24"/>
          <w:szCs w:val="24"/>
        </w:rPr>
        <w:t>jellemző</w:t>
      </w:r>
      <w:r w:rsidR="0097295C">
        <w:rPr>
          <w:rFonts w:ascii="Times New Roman" w:hAnsi="Times New Roman"/>
          <w:sz w:val="24"/>
          <w:szCs w:val="24"/>
        </w:rPr>
        <w:t>,</w:t>
      </w:r>
      <w:r w:rsidR="00A801FE">
        <w:rPr>
          <w:rFonts w:ascii="Times New Roman" w:hAnsi="Times New Roman"/>
          <w:sz w:val="24"/>
          <w:szCs w:val="24"/>
        </w:rPr>
        <w:t xml:space="preserve"> </w:t>
      </w:r>
      <w:r w:rsidR="00982E54">
        <w:rPr>
          <w:rFonts w:ascii="Times New Roman" w:hAnsi="Times New Roman"/>
          <w:sz w:val="24"/>
          <w:szCs w:val="24"/>
        </w:rPr>
        <w:t xml:space="preserve">a tünetek </w:t>
      </w:r>
      <w:r w:rsidR="00A801FE">
        <w:rPr>
          <w:rFonts w:ascii="Times New Roman" w:hAnsi="Times New Roman"/>
          <w:sz w:val="24"/>
          <w:szCs w:val="24"/>
        </w:rPr>
        <w:t>nagyrészt</w:t>
      </w:r>
      <w:r w:rsidR="0097295C">
        <w:rPr>
          <w:rFonts w:ascii="Times New Roman" w:hAnsi="Times New Roman"/>
          <w:sz w:val="24"/>
          <w:szCs w:val="24"/>
        </w:rPr>
        <w:t xml:space="preserve"> teljes tőkére kiterjedő</w:t>
      </w:r>
      <w:r w:rsidR="00982E54">
        <w:rPr>
          <w:rFonts w:ascii="Times New Roman" w:hAnsi="Times New Roman"/>
          <w:sz w:val="24"/>
          <w:szCs w:val="24"/>
        </w:rPr>
        <w:t>en jelentkeztek</w:t>
      </w:r>
      <w:r w:rsidR="0097295C">
        <w:rPr>
          <w:rFonts w:ascii="Times New Roman" w:hAnsi="Times New Roman"/>
          <w:sz w:val="24"/>
          <w:szCs w:val="24"/>
        </w:rPr>
        <w:t>.</w:t>
      </w:r>
      <w:r w:rsidR="008E3E6D">
        <w:rPr>
          <w:rFonts w:ascii="Times New Roman" w:hAnsi="Times New Roman"/>
          <w:sz w:val="24"/>
          <w:szCs w:val="24"/>
        </w:rPr>
        <w:t xml:space="preserve"> </w:t>
      </w:r>
      <w:r w:rsidR="005D2954">
        <w:rPr>
          <w:rFonts w:ascii="Times New Roman" w:hAnsi="Times New Roman"/>
          <w:sz w:val="24"/>
          <w:szCs w:val="24"/>
        </w:rPr>
        <w:t xml:space="preserve">Cabernet </w:t>
      </w:r>
      <w:proofErr w:type="spellStart"/>
      <w:r w:rsidR="005D2954">
        <w:rPr>
          <w:rFonts w:ascii="Times New Roman" w:hAnsi="Times New Roman"/>
          <w:sz w:val="24"/>
          <w:szCs w:val="24"/>
        </w:rPr>
        <w:t>sauvignon</w:t>
      </w:r>
      <w:proofErr w:type="spellEnd"/>
      <w:r w:rsidR="005D2954">
        <w:rPr>
          <w:rFonts w:ascii="Times New Roman" w:hAnsi="Times New Roman"/>
          <w:sz w:val="24"/>
          <w:szCs w:val="24"/>
        </w:rPr>
        <w:t xml:space="preserve"> és Cirfandli fajtákon a</w:t>
      </w:r>
      <w:r w:rsidR="008E3E6D">
        <w:rPr>
          <w:rFonts w:ascii="Times New Roman" w:hAnsi="Times New Roman"/>
          <w:sz w:val="24"/>
          <w:szCs w:val="24"/>
        </w:rPr>
        <w:t xml:space="preserve"> 2015-ben manifesztálódó</w:t>
      </w:r>
      <w:r w:rsidR="00CB5A74">
        <w:rPr>
          <w:rFonts w:ascii="Times New Roman" w:hAnsi="Times New Roman"/>
          <w:sz w:val="24"/>
          <w:szCs w:val="24"/>
        </w:rPr>
        <w:t xml:space="preserve"> tünetek közel 40 százalék</w:t>
      </w:r>
      <w:r w:rsidR="009451ED">
        <w:rPr>
          <w:rFonts w:ascii="Times New Roman" w:hAnsi="Times New Roman"/>
          <w:sz w:val="24"/>
          <w:szCs w:val="24"/>
        </w:rPr>
        <w:t>át</w:t>
      </w:r>
      <w:r w:rsidR="005D2954">
        <w:rPr>
          <w:rFonts w:ascii="Times New Roman" w:hAnsi="Times New Roman"/>
          <w:sz w:val="24"/>
          <w:szCs w:val="24"/>
        </w:rPr>
        <w:t xml:space="preserve"> a már </w:t>
      </w:r>
      <w:r w:rsidR="00515425">
        <w:rPr>
          <w:rFonts w:ascii="Times New Roman" w:hAnsi="Times New Roman"/>
          <w:sz w:val="24"/>
          <w:szCs w:val="24"/>
        </w:rPr>
        <w:t xml:space="preserve">az előző évben is </w:t>
      </w:r>
      <w:r w:rsidR="00703791">
        <w:rPr>
          <w:rFonts w:ascii="Times New Roman" w:hAnsi="Times New Roman"/>
          <w:sz w:val="24"/>
          <w:szCs w:val="24"/>
        </w:rPr>
        <w:t>diagnosztizált</w:t>
      </w:r>
      <w:r w:rsidR="008E3E6D">
        <w:rPr>
          <w:rFonts w:ascii="Times New Roman" w:hAnsi="Times New Roman"/>
          <w:sz w:val="24"/>
          <w:szCs w:val="24"/>
        </w:rPr>
        <w:t xml:space="preserve"> tőkéken</w:t>
      </w:r>
      <w:r w:rsidR="009451ED">
        <w:rPr>
          <w:rFonts w:ascii="Times New Roman" w:hAnsi="Times New Roman"/>
          <w:sz w:val="24"/>
          <w:szCs w:val="24"/>
        </w:rPr>
        <w:t xml:space="preserve"> figyeltük meg</w:t>
      </w:r>
      <w:r w:rsidR="00515425">
        <w:rPr>
          <w:rFonts w:ascii="Times New Roman" w:hAnsi="Times New Roman"/>
          <w:sz w:val="24"/>
          <w:szCs w:val="24"/>
        </w:rPr>
        <w:t>.</w:t>
      </w:r>
      <w:r w:rsidR="008E3E6D">
        <w:rPr>
          <w:rFonts w:ascii="Times New Roman" w:hAnsi="Times New Roman"/>
          <w:sz w:val="24"/>
          <w:szCs w:val="24"/>
        </w:rPr>
        <w:t xml:space="preserve"> </w:t>
      </w:r>
      <w:r w:rsidR="009F1A7D" w:rsidRPr="003A4413">
        <w:rPr>
          <w:rFonts w:ascii="Times New Roman" w:hAnsi="Times New Roman"/>
          <w:color w:val="000000" w:themeColor="text1"/>
          <w:sz w:val="24"/>
          <w:szCs w:val="24"/>
        </w:rPr>
        <w:t>Eredményeink alapján megállapítottuk</w:t>
      </w:r>
      <w:r w:rsidR="003A4413" w:rsidRPr="003A4413">
        <w:rPr>
          <w:rFonts w:ascii="Times New Roman" w:hAnsi="Times New Roman"/>
          <w:color w:val="000000" w:themeColor="text1"/>
          <w:sz w:val="24"/>
          <w:szCs w:val="24"/>
        </w:rPr>
        <w:t xml:space="preserve">, hogy </w:t>
      </w:r>
      <w:r w:rsidR="000C376E" w:rsidRPr="00013BF0">
        <w:rPr>
          <w:rFonts w:ascii="Times New Roman" w:hAnsi="Times New Roman"/>
          <w:sz w:val="24"/>
          <w:szCs w:val="24"/>
        </w:rPr>
        <w:t xml:space="preserve">az évjárat hatása a </w:t>
      </w:r>
      <w:r w:rsidR="00B964F2" w:rsidRPr="00013BF0">
        <w:rPr>
          <w:rFonts w:ascii="Times New Roman" w:hAnsi="Times New Roman"/>
          <w:sz w:val="24"/>
          <w:szCs w:val="24"/>
        </w:rPr>
        <w:t xml:space="preserve">fás </w:t>
      </w:r>
      <w:r w:rsidR="000C376E" w:rsidRPr="00013BF0">
        <w:rPr>
          <w:rFonts w:ascii="Times New Roman" w:hAnsi="Times New Roman"/>
          <w:sz w:val="24"/>
          <w:szCs w:val="24"/>
        </w:rPr>
        <w:t xml:space="preserve">betegségtünetek gyakoriságára fajtánként eltérő </w:t>
      </w:r>
      <w:r w:rsidR="00B964F2" w:rsidRPr="00013BF0">
        <w:rPr>
          <w:rFonts w:ascii="Times New Roman" w:hAnsi="Times New Roman"/>
          <w:sz w:val="24"/>
          <w:szCs w:val="24"/>
        </w:rPr>
        <w:t>lehet.</w:t>
      </w:r>
    </w:p>
    <w:p w:rsidR="00EA7029" w:rsidRDefault="00EA7029" w:rsidP="00AE75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78BB" w:rsidRDefault="002578BB" w:rsidP="00AE75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78BB">
        <w:rPr>
          <w:rFonts w:ascii="Times New Roman" w:hAnsi="Times New Roman"/>
          <w:sz w:val="24"/>
          <w:szCs w:val="24"/>
          <w:u w:val="single"/>
        </w:rPr>
        <w:t>Kulcsszavak</w:t>
      </w:r>
      <w:r w:rsidRPr="00AE753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578BB">
        <w:rPr>
          <w:rFonts w:ascii="Times New Roman" w:hAnsi="Times New Roman"/>
          <w:sz w:val="24"/>
          <w:szCs w:val="24"/>
        </w:rPr>
        <w:t>Esca</w:t>
      </w:r>
      <w:proofErr w:type="spellEnd"/>
      <w:r w:rsidRPr="002578BB">
        <w:rPr>
          <w:rFonts w:ascii="Times New Roman" w:hAnsi="Times New Roman"/>
          <w:sz w:val="24"/>
          <w:szCs w:val="24"/>
        </w:rPr>
        <w:t xml:space="preserve">/BDA, </w:t>
      </w:r>
      <w:r>
        <w:rPr>
          <w:rFonts w:ascii="Times New Roman" w:hAnsi="Times New Roman"/>
          <w:sz w:val="24"/>
          <w:szCs w:val="24"/>
        </w:rPr>
        <w:t>évjárat, fajta</w:t>
      </w:r>
    </w:p>
    <w:p w:rsidR="002F695C" w:rsidRDefault="002F695C" w:rsidP="00AE75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9390F" w:rsidRPr="0019046E" w:rsidRDefault="0049390F" w:rsidP="00AE753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9046E">
        <w:rPr>
          <w:rFonts w:ascii="Times New Roman" w:hAnsi="Times New Roman"/>
          <w:b/>
          <w:sz w:val="24"/>
          <w:szCs w:val="24"/>
        </w:rPr>
        <w:t>A</w:t>
      </w:r>
      <w:r w:rsidR="006F5521" w:rsidRPr="0019046E">
        <w:rPr>
          <w:rFonts w:ascii="Times New Roman" w:hAnsi="Times New Roman"/>
          <w:b/>
          <w:sz w:val="24"/>
          <w:szCs w:val="24"/>
        </w:rPr>
        <w:t>bstrac</w:t>
      </w:r>
      <w:r w:rsidRPr="0019046E">
        <w:rPr>
          <w:rFonts w:ascii="Times New Roman" w:hAnsi="Times New Roman"/>
          <w:b/>
          <w:sz w:val="24"/>
          <w:szCs w:val="24"/>
        </w:rPr>
        <w:t>t</w:t>
      </w:r>
      <w:proofErr w:type="spellEnd"/>
    </w:p>
    <w:p w:rsidR="0049390F" w:rsidRPr="0019046E" w:rsidRDefault="0049390F" w:rsidP="00AE753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95C" w:rsidRPr="00B964F2" w:rsidRDefault="002F695C" w:rsidP="00AE7539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val="en-GB"/>
        </w:rPr>
      </w:pPr>
      <w:r w:rsidRPr="00B964F2">
        <w:rPr>
          <w:rFonts w:ascii="Times New Roman" w:hAnsi="Times New Roman"/>
          <w:sz w:val="24"/>
          <w:szCs w:val="24"/>
          <w:lang w:val="en-GB"/>
        </w:rPr>
        <w:t xml:space="preserve">Trunk diseases of grapevine cause significant economic losses worldwide. The effect of vintages (2013-2015) on disease symptom prevalence was studied on three cultivars (Cabernet sauvignon, Merlot and </w:t>
      </w:r>
      <w:proofErr w:type="spellStart"/>
      <w:r w:rsidRPr="00B964F2">
        <w:rPr>
          <w:rFonts w:ascii="Times New Roman" w:hAnsi="Times New Roman"/>
          <w:sz w:val="24"/>
          <w:szCs w:val="24"/>
          <w:lang w:val="en-GB"/>
        </w:rPr>
        <w:t>Cirfandli</w:t>
      </w:r>
      <w:proofErr w:type="spellEnd"/>
      <w:r w:rsidRPr="00B964F2">
        <w:rPr>
          <w:rFonts w:ascii="Times New Roman" w:hAnsi="Times New Roman"/>
          <w:sz w:val="24"/>
          <w:szCs w:val="24"/>
          <w:lang w:val="en-GB"/>
        </w:rPr>
        <w:t xml:space="preserve">) in the Institute for Viticulture and </w:t>
      </w:r>
      <w:proofErr w:type="spellStart"/>
      <w:r w:rsidRPr="00B964F2">
        <w:rPr>
          <w:rFonts w:ascii="Times New Roman" w:hAnsi="Times New Roman"/>
          <w:sz w:val="24"/>
          <w:szCs w:val="24"/>
          <w:lang w:val="en-GB"/>
        </w:rPr>
        <w:t>Enology</w:t>
      </w:r>
      <w:proofErr w:type="spellEnd"/>
      <w:r w:rsidRPr="00B964F2">
        <w:rPr>
          <w:rFonts w:ascii="Times New Roman" w:hAnsi="Times New Roman"/>
          <w:sz w:val="24"/>
          <w:szCs w:val="24"/>
          <w:lang w:val="en-GB"/>
        </w:rPr>
        <w:t xml:space="preserve">, University of </w:t>
      </w:r>
      <w:proofErr w:type="spellStart"/>
      <w:r w:rsidRPr="00B964F2">
        <w:rPr>
          <w:rFonts w:ascii="Times New Roman" w:hAnsi="Times New Roman"/>
          <w:sz w:val="24"/>
          <w:szCs w:val="24"/>
          <w:lang w:val="en-GB"/>
        </w:rPr>
        <w:t>Pécs</w:t>
      </w:r>
      <w:proofErr w:type="spellEnd"/>
      <w:r w:rsidRPr="00B964F2">
        <w:rPr>
          <w:rFonts w:ascii="Times New Roman" w:hAnsi="Times New Roman"/>
          <w:sz w:val="24"/>
          <w:szCs w:val="24"/>
          <w:lang w:val="en-GB"/>
        </w:rPr>
        <w:t>. The highest disease symptom rate was monitored in the humid year, 2014.</w:t>
      </w:r>
    </w:p>
    <w:p w:rsidR="002F695C" w:rsidRPr="00B964F2" w:rsidRDefault="002F695C" w:rsidP="00AE753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B964F2">
        <w:rPr>
          <w:rFonts w:ascii="Times New Roman" w:hAnsi="Times New Roman"/>
          <w:sz w:val="24"/>
          <w:szCs w:val="24"/>
          <w:lang w:val="en-GB"/>
        </w:rPr>
        <w:t xml:space="preserve">In 2015 the chronic, whole stock symptoms were dominant. In 2015, 40 percent of symptomatic cv. Cabernet sauvignon and cv. </w:t>
      </w:r>
      <w:proofErr w:type="spellStart"/>
      <w:r w:rsidRPr="00B964F2">
        <w:rPr>
          <w:rFonts w:ascii="Times New Roman" w:hAnsi="Times New Roman"/>
          <w:sz w:val="24"/>
          <w:szCs w:val="24"/>
          <w:lang w:val="en-GB"/>
        </w:rPr>
        <w:t>Cirfandli</w:t>
      </w:r>
      <w:proofErr w:type="spellEnd"/>
      <w:r w:rsidRPr="00B964F2">
        <w:rPr>
          <w:rFonts w:ascii="Times New Roman" w:hAnsi="Times New Roman"/>
          <w:sz w:val="24"/>
          <w:szCs w:val="24"/>
          <w:lang w:val="en-GB"/>
        </w:rPr>
        <w:t xml:space="preserve"> stocks showed symptoms already in the former year. Based on our results the vintage dependence of disease symptoms can vary from cultivar to cultivar.</w:t>
      </w:r>
    </w:p>
    <w:p w:rsidR="002F695C" w:rsidRDefault="002F695C" w:rsidP="00AE753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70060" w:rsidRPr="002F695C" w:rsidRDefault="00AE7539" w:rsidP="00AE7539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Key</w:t>
      </w:r>
      <w:r w:rsidR="002F695C" w:rsidRPr="00E417C4">
        <w:rPr>
          <w:rFonts w:ascii="Times New Roman" w:hAnsi="Times New Roman"/>
          <w:sz w:val="24"/>
          <w:szCs w:val="24"/>
          <w:u w:val="single"/>
        </w:rPr>
        <w:t>words</w:t>
      </w:r>
      <w:proofErr w:type="spellEnd"/>
      <w:r w:rsidR="002F695C">
        <w:rPr>
          <w:rFonts w:ascii="Times New Roman" w:hAnsi="Times New Roman"/>
          <w:sz w:val="24"/>
          <w:szCs w:val="24"/>
        </w:rPr>
        <w:t>:</w:t>
      </w:r>
      <w:r w:rsidR="002F695C" w:rsidRPr="00E41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695C" w:rsidRPr="002578BB">
        <w:rPr>
          <w:rFonts w:ascii="Times New Roman" w:hAnsi="Times New Roman"/>
          <w:sz w:val="24"/>
          <w:szCs w:val="24"/>
        </w:rPr>
        <w:t>Esca</w:t>
      </w:r>
      <w:proofErr w:type="spellEnd"/>
      <w:r w:rsidR="002F695C" w:rsidRPr="002578BB">
        <w:rPr>
          <w:rFonts w:ascii="Times New Roman" w:hAnsi="Times New Roman"/>
          <w:sz w:val="24"/>
          <w:szCs w:val="24"/>
        </w:rPr>
        <w:t xml:space="preserve">/BDA, </w:t>
      </w:r>
      <w:proofErr w:type="spellStart"/>
      <w:r w:rsidR="002F695C">
        <w:rPr>
          <w:rFonts w:ascii="Times New Roman" w:hAnsi="Times New Roman"/>
          <w:sz w:val="24"/>
          <w:szCs w:val="24"/>
        </w:rPr>
        <w:t>vintage</w:t>
      </w:r>
      <w:proofErr w:type="spellEnd"/>
      <w:r w:rsidR="002F69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695C">
        <w:rPr>
          <w:rFonts w:ascii="Times New Roman" w:hAnsi="Times New Roman"/>
          <w:sz w:val="24"/>
          <w:szCs w:val="24"/>
        </w:rPr>
        <w:t>cultivar</w:t>
      </w:r>
      <w:proofErr w:type="spellEnd"/>
    </w:p>
    <w:p w:rsidR="0049390F" w:rsidRDefault="0049390F" w:rsidP="00AE753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52544">
        <w:rPr>
          <w:rFonts w:ascii="Times New Roman" w:hAnsi="Times New Roman"/>
          <w:b/>
          <w:sz w:val="24"/>
          <w:szCs w:val="24"/>
        </w:rPr>
        <w:lastRenderedPageBreak/>
        <w:t>Bevezetés</w:t>
      </w:r>
    </w:p>
    <w:p w:rsidR="00D6072A" w:rsidRDefault="00D6072A" w:rsidP="00AE753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4537" w:rsidRDefault="008E3E6D" w:rsidP="00AE7539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26A04">
        <w:rPr>
          <w:rFonts w:ascii="Times New Roman" w:hAnsi="Times New Roman"/>
          <w:sz w:val="24"/>
          <w:szCs w:val="24"/>
        </w:rPr>
        <w:t xml:space="preserve">A fás részek betegségeit </w:t>
      </w:r>
      <w:r w:rsidR="00B964F2" w:rsidRPr="00013BF0">
        <w:rPr>
          <w:rFonts w:ascii="Times New Roman" w:hAnsi="Times New Roman"/>
          <w:sz w:val="24"/>
          <w:szCs w:val="24"/>
        </w:rPr>
        <w:t xml:space="preserve">– a kiváltó kórokozók szerint - </w:t>
      </w:r>
      <w:r w:rsidRPr="00013BF0">
        <w:rPr>
          <w:rFonts w:ascii="Times New Roman" w:hAnsi="Times New Roman"/>
          <w:sz w:val="24"/>
          <w:szCs w:val="24"/>
        </w:rPr>
        <w:t>a következők</w:t>
      </w:r>
      <w:r w:rsidR="00B964F2" w:rsidRPr="00013BF0">
        <w:rPr>
          <w:rFonts w:ascii="Times New Roman" w:hAnsi="Times New Roman"/>
          <w:sz w:val="24"/>
          <w:szCs w:val="24"/>
        </w:rPr>
        <w:t>éppen</w:t>
      </w:r>
      <w:r w:rsidRPr="00013BF0">
        <w:rPr>
          <w:rFonts w:ascii="Times New Roman" w:hAnsi="Times New Roman"/>
          <w:sz w:val="24"/>
          <w:szCs w:val="24"/>
        </w:rPr>
        <w:t xml:space="preserve"> csoportosíthatjuk: </w:t>
      </w:r>
      <w:proofErr w:type="spellStart"/>
      <w:r w:rsidRPr="0019046E">
        <w:rPr>
          <w:rFonts w:ascii="Times New Roman" w:hAnsi="Times New Roman"/>
          <w:i/>
          <w:sz w:val="24"/>
          <w:szCs w:val="24"/>
        </w:rPr>
        <w:t>Phomopsis</w:t>
      </w:r>
      <w:r w:rsidRPr="00326A04">
        <w:rPr>
          <w:rFonts w:ascii="Times New Roman" w:hAnsi="Times New Roman"/>
          <w:sz w:val="24"/>
          <w:szCs w:val="24"/>
        </w:rPr>
        <w:t>-os</w:t>
      </w:r>
      <w:proofErr w:type="spellEnd"/>
      <w:r w:rsidRPr="00326A04">
        <w:rPr>
          <w:rFonts w:ascii="Times New Roman" w:hAnsi="Times New Roman"/>
          <w:sz w:val="24"/>
          <w:szCs w:val="24"/>
        </w:rPr>
        <w:t xml:space="preserve"> tőkeelhalás,</w:t>
      </w:r>
      <w:r w:rsidRPr="00326A0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046E">
        <w:rPr>
          <w:rFonts w:ascii="Times New Roman" w:hAnsi="Times New Roman"/>
          <w:i/>
          <w:sz w:val="24"/>
          <w:szCs w:val="24"/>
        </w:rPr>
        <w:t>Eutyp</w:t>
      </w:r>
      <w:r w:rsidR="0019046E">
        <w:rPr>
          <w:rFonts w:ascii="Times New Roman" w:hAnsi="Times New Roman"/>
          <w:i/>
          <w:sz w:val="24"/>
          <w:szCs w:val="24"/>
        </w:rPr>
        <w:t>a-</w:t>
      </w:r>
      <w:r w:rsidRPr="00326A04">
        <w:rPr>
          <w:rFonts w:ascii="Times New Roman" w:hAnsi="Times New Roman"/>
          <w:sz w:val="24"/>
          <w:szCs w:val="24"/>
        </w:rPr>
        <w:t>s</w:t>
      </w:r>
      <w:proofErr w:type="spellEnd"/>
      <w:r w:rsidRPr="00326A04">
        <w:rPr>
          <w:rFonts w:ascii="Times New Roman" w:hAnsi="Times New Roman"/>
          <w:sz w:val="24"/>
          <w:szCs w:val="24"/>
        </w:rPr>
        <w:t xml:space="preserve"> részleges tőkeelhalás, </w:t>
      </w:r>
      <w:proofErr w:type="spellStart"/>
      <w:r w:rsidRPr="0019046E">
        <w:rPr>
          <w:rFonts w:ascii="Times New Roman" w:hAnsi="Times New Roman"/>
          <w:i/>
          <w:sz w:val="24"/>
          <w:szCs w:val="24"/>
        </w:rPr>
        <w:t>Botryosphaeri</w:t>
      </w:r>
      <w:r w:rsidR="0019046E">
        <w:rPr>
          <w:rFonts w:ascii="Times New Roman" w:hAnsi="Times New Roman"/>
          <w:i/>
          <w:sz w:val="24"/>
          <w:szCs w:val="24"/>
        </w:rPr>
        <w:t>a-</w:t>
      </w:r>
      <w:r w:rsidRPr="00326A04">
        <w:rPr>
          <w:rFonts w:ascii="Times New Roman" w:hAnsi="Times New Roman"/>
          <w:sz w:val="24"/>
          <w:szCs w:val="24"/>
        </w:rPr>
        <w:t>s</w:t>
      </w:r>
      <w:proofErr w:type="spellEnd"/>
      <w:r w:rsidRPr="00326A04">
        <w:rPr>
          <w:rFonts w:ascii="Times New Roman" w:hAnsi="Times New Roman"/>
          <w:sz w:val="24"/>
          <w:szCs w:val="24"/>
        </w:rPr>
        <w:t xml:space="preserve"> - fekete kordonkar elhalás</w:t>
      </w:r>
      <w:r>
        <w:rPr>
          <w:rFonts w:ascii="Times New Roman" w:hAnsi="Times New Roman"/>
          <w:sz w:val="24"/>
          <w:szCs w:val="24"/>
        </w:rPr>
        <w:t xml:space="preserve"> (BDA)</w:t>
      </w:r>
      <w:r w:rsidR="00984A79">
        <w:rPr>
          <w:rFonts w:ascii="Times New Roman" w:hAnsi="Times New Roman"/>
          <w:sz w:val="24"/>
          <w:szCs w:val="24"/>
        </w:rPr>
        <w:t>, f</w:t>
      </w:r>
      <w:r w:rsidRPr="00326A04">
        <w:rPr>
          <w:rFonts w:ascii="Times New Roman" w:hAnsi="Times New Roman"/>
          <w:sz w:val="24"/>
          <w:szCs w:val="24"/>
        </w:rPr>
        <w:t>iatal tőkék pusztulá</w:t>
      </w:r>
      <w:r>
        <w:rPr>
          <w:rFonts w:ascii="Times New Roman" w:hAnsi="Times New Roman"/>
          <w:sz w:val="24"/>
          <w:szCs w:val="24"/>
        </w:rPr>
        <w:t xml:space="preserve">sát okozó Petri-betegség és az </w:t>
      </w:r>
      <w:proofErr w:type="spellStart"/>
      <w:r>
        <w:rPr>
          <w:rFonts w:ascii="Times New Roman" w:hAnsi="Times New Roman"/>
          <w:sz w:val="24"/>
          <w:szCs w:val="24"/>
        </w:rPr>
        <w:t>Esca</w:t>
      </w:r>
      <w:proofErr w:type="spellEnd"/>
      <w:r w:rsidR="003B52F4">
        <w:rPr>
          <w:rFonts w:ascii="Times New Roman" w:hAnsi="Times New Roman"/>
          <w:sz w:val="24"/>
          <w:szCs w:val="24"/>
        </w:rPr>
        <w:t xml:space="preserve">. </w:t>
      </w:r>
      <w:r w:rsidR="00670060">
        <w:rPr>
          <w:rFonts w:ascii="Times New Roman" w:hAnsi="Times New Roman"/>
          <w:sz w:val="24"/>
          <w:szCs w:val="24"/>
        </w:rPr>
        <w:t>A BDA kialakulásáért</w:t>
      </w:r>
      <w:r w:rsidR="00217689" w:rsidRPr="003B52F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217689" w:rsidRPr="003B52F4">
        <w:rPr>
          <w:rFonts w:ascii="Times New Roman" w:hAnsi="Times New Roman"/>
          <w:i/>
          <w:sz w:val="24"/>
          <w:szCs w:val="24"/>
        </w:rPr>
        <w:t>Botryosphaeriaceae</w:t>
      </w:r>
      <w:proofErr w:type="spellEnd"/>
      <w:r w:rsidR="00217689" w:rsidRPr="003B52F4">
        <w:rPr>
          <w:rFonts w:ascii="Times New Roman" w:hAnsi="Times New Roman"/>
          <w:sz w:val="24"/>
          <w:szCs w:val="24"/>
        </w:rPr>
        <w:t xml:space="preserve"> családba tartozó kórokozók a felelősek</w:t>
      </w:r>
      <w:r w:rsidR="003B52F4">
        <w:rPr>
          <w:rFonts w:ascii="Times New Roman" w:hAnsi="Times New Roman"/>
          <w:sz w:val="24"/>
          <w:szCs w:val="24"/>
        </w:rPr>
        <w:t xml:space="preserve"> </w:t>
      </w:r>
      <w:r w:rsidR="003B52F4" w:rsidRPr="00326A04">
        <w:rPr>
          <w:rFonts w:ascii="Times New Roman" w:hAnsi="Times New Roman"/>
          <w:sz w:val="24"/>
          <w:szCs w:val="24"/>
        </w:rPr>
        <w:t>(</w:t>
      </w:r>
      <w:r w:rsidR="001A1081" w:rsidRPr="001A1081">
        <w:rPr>
          <w:rFonts w:ascii="Times New Roman" w:hAnsi="Times New Roman"/>
          <w:sz w:val="24"/>
          <w:szCs w:val="24"/>
        </w:rPr>
        <w:t xml:space="preserve">Lehoczky, </w:t>
      </w:r>
      <w:r w:rsidR="009451ED">
        <w:rPr>
          <w:rFonts w:ascii="Times New Roman" w:hAnsi="Times New Roman"/>
          <w:sz w:val="24"/>
          <w:szCs w:val="24"/>
        </w:rPr>
        <w:t>19</w:t>
      </w:r>
      <w:r w:rsidR="001A1081">
        <w:rPr>
          <w:rFonts w:ascii="Times New Roman" w:hAnsi="Times New Roman"/>
          <w:sz w:val="24"/>
          <w:szCs w:val="24"/>
        </w:rPr>
        <w:t>74</w:t>
      </w:r>
      <w:r w:rsidR="003B52F4" w:rsidRPr="00326A04">
        <w:rPr>
          <w:rFonts w:ascii="Times New Roman" w:hAnsi="Times New Roman"/>
          <w:sz w:val="24"/>
          <w:szCs w:val="24"/>
        </w:rPr>
        <w:t>).</w:t>
      </w:r>
      <w:r w:rsidR="003B52F4">
        <w:rPr>
          <w:rFonts w:ascii="Times New Roman" w:hAnsi="Times New Roman"/>
          <w:sz w:val="24"/>
          <w:szCs w:val="24"/>
        </w:rPr>
        <w:t xml:space="preserve"> A</w:t>
      </w:r>
      <w:r w:rsidR="00217689" w:rsidRPr="003B52F4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217689" w:rsidRPr="003B52F4">
        <w:rPr>
          <w:rFonts w:ascii="Times New Roman" w:hAnsi="Times New Roman"/>
          <w:sz w:val="24"/>
          <w:szCs w:val="24"/>
        </w:rPr>
        <w:t>Esca</w:t>
      </w:r>
      <w:proofErr w:type="spellEnd"/>
      <w:r w:rsidR="00A52FEC" w:rsidRPr="003B52F4">
        <w:rPr>
          <w:rFonts w:ascii="Times New Roman" w:hAnsi="Times New Roman"/>
          <w:sz w:val="24"/>
          <w:szCs w:val="24"/>
        </w:rPr>
        <w:t xml:space="preserve"> betegséget tö</w:t>
      </w:r>
      <w:r w:rsidR="003B52F4" w:rsidRPr="003B52F4">
        <w:rPr>
          <w:rFonts w:ascii="Times New Roman" w:hAnsi="Times New Roman"/>
          <w:sz w:val="24"/>
          <w:szCs w:val="24"/>
        </w:rPr>
        <w:t>bb gomba együtthatása idézi elő</w:t>
      </w:r>
      <w:r w:rsidR="003B52F4">
        <w:rPr>
          <w:rFonts w:ascii="Times New Roman" w:hAnsi="Times New Roman"/>
          <w:sz w:val="24"/>
          <w:szCs w:val="24"/>
        </w:rPr>
        <w:t xml:space="preserve">, </w:t>
      </w:r>
      <w:r w:rsidR="00CE7720">
        <w:rPr>
          <w:rFonts w:ascii="Times New Roman" w:hAnsi="Times New Roman"/>
          <w:sz w:val="24"/>
          <w:szCs w:val="24"/>
        </w:rPr>
        <w:t xml:space="preserve">kiemelten </w:t>
      </w:r>
      <w:r w:rsidR="003B52F4">
        <w:rPr>
          <w:rFonts w:ascii="Times New Roman" w:hAnsi="Times New Roman"/>
          <w:sz w:val="24"/>
          <w:szCs w:val="24"/>
        </w:rPr>
        <w:t>a</w:t>
      </w:r>
      <w:r w:rsidR="00217689" w:rsidRPr="003B52F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B52F4">
        <w:rPr>
          <w:rFonts w:ascii="Times New Roman" w:hAnsi="Times New Roman"/>
          <w:sz w:val="24"/>
          <w:szCs w:val="24"/>
        </w:rPr>
        <w:t>faszövetek</w:t>
      </w:r>
      <w:proofErr w:type="gramEnd"/>
      <w:r w:rsidR="003B52F4">
        <w:rPr>
          <w:rFonts w:ascii="Times New Roman" w:hAnsi="Times New Roman"/>
          <w:sz w:val="24"/>
          <w:szCs w:val="24"/>
        </w:rPr>
        <w:t xml:space="preserve"> barna elszíneződését okozó </w:t>
      </w:r>
      <w:proofErr w:type="spellStart"/>
      <w:r w:rsidR="00217689" w:rsidRPr="003B52F4">
        <w:rPr>
          <w:rFonts w:ascii="Times New Roman" w:hAnsi="Times New Roman"/>
          <w:i/>
          <w:sz w:val="24"/>
          <w:szCs w:val="24"/>
        </w:rPr>
        <w:t>Phaeomoniella</w:t>
      </w:r>
      <w:proofErr w:type="spellEnd"/>
      <w:r w:rsidR="00B213D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213DC">
        <w:rPr>
          <w:rFonts w:ascii="Times New Roman" w:hAnsi="Times New Roman"/>
          <w:i/>
          <w:sz w:val="24"/>
          <w:szCs w:val="24"/>
        </w:rPr>
        <w:t>clamidospora</w:t>
      </w:r>
      <w:proofErr w:type="spellEnd"/>
      <w:r w:rsidR="00217689" w:rsidRPr="003B52F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217689" w:rsidRPr="003B52F4">
        <w:rPr>
          <w:rFonts w:ascii="Times New Roman" w:hAnsi="Times New Roman"/>
          <w:i/>
          <w:sz w:val="24"/>
          <w:szCs w:val="24"/>
        </w:rPr>
        <w:t>Phaeoacremonium</w:t>
      </w:r>
      <w:proofErr w:type="spellEnd"/>
      <w:r w:rsidR="003B52F4" w:rsidRPr="003B52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B52F4" w:rsidRPr="0019046E">
        <w:rPr>
          <w:rFonts w:ascii="Times New Roman" w:hAnsi="Times New Roman"/>
          <w:sz w:val="24"/>
          <w:szCs w:val="24"/>
        </w:rPr>
        <w:t>spp</w:t>
      </w:r>
      <w:proofErr w:type="spellEnd"/>
      <w:r w:rsidR="003B52F4" w:rsidRPr="003B52F4">
        <w:rPr>
          <w:rFonts w:ascii="Times New Roman" w:hAnsi="Times New Roman"/>
          <w:i/>
          <w:sz w:val="24"/>
          <w:szCs w:val="24"/>
        </w:rPr>
        <w:t>.</w:t>
      </w:r>
      <w:r w:rsidR="003B52F4">
        <w:rPr>
          <w:rFonts w:ascii="Times New Roman" w:hAnsi="Times New Roman"/>
          <w:i/>
          <w:sz w:val="24"/>
          <w:szCs w:val="24"/>
        </w:rPr>
        <w:t xml:space="preserve"> </w:t>
      </w:r>
      <w:r w:rsidR="003B52F4" w:rsidRPr="003B52F4">
        <w:rPr>
          <w:rFonts w:ascii="Times New Roman" w:hAnsi="Times New Roman"/>
          <w:sz w:val="24"/>
          <w:szCs w:val="24"/>
        </w:rPr>
        <w:t>és</w:t>
      </w:r>
      <w:r w:rsidR="00217689" w:rsidRPr="003B52F4">
        <w:rPr>
          <w:rFonts w:ascii="Times New Roman" w:hAnsi="Times New Roman"/>
          <w:sz w:val="24"/>
          <w:szCs w:val="24"/>
        </w:rPr>
        <w:t xml:space="preserve"> </w:t>
      </w:r>
      <w:r w:rsidR="003B52F4" w:rsidRPr="003B52F4">
        <w:rPr>
          <w:rFonts w:ascii="Times New Roman" w:hAnsi="Times New Roman"/>
          <w:sz w:val="24"/>
          <w:szCs w:val="24"/>
        </w:rPr>
        <w:t xml:space="preserve">a fehér korhadásért felelős </w:t>
      </w:r>
      <w:proofErr w:type="spellStart"/>
      <w:r w:rsidR="00217689" w:rsidRPr="003B52F4">
        <w:rPr>
          <w:rFonts w:ascii="Times New Roman" w:hAnsi="Times New Roman"/>
          <w:i/>
          <w:sz w:val="24"/>
          <w:szCs w:val="24"/>
        </w:rPr>
        <w:t>Fomitiporia</w:t>
      </w:r>
      <w:proofErr w:type="spellEnd"/>
      <w:r w:rsidR="002E527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E527C" w:rsidRPr="0019046E">
        <w:rPr>
          <w:rFonts w:ascii="Times New Roman" w:hAnsi="Times New Roman"/>
          <w:sz w:val="24"/>
          <w:szCs w:val="24"/>
        </w:rPr>
        <w:t>spp</w:t>
      </w:r>
      <w:proofErr w:type="spellEnd"/>
      <w:r w:rsidR="002E527C" w:rsidRPr="0019046E">
        <w:rPr>
          <w:rFonts w:ascii="Times New Roman" w:hAnsi="Times New Roman"/>
          <w:sz w:val="24"/>
          <w:szCs w:val="24"/>
        </w:rPr>
        <w:t>.</w:t>
      </w:r>
      <w:r w:rsidR="003B52F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B52F4">
        <w:rPr>
          <w:rFonts w:ascii="Times New Roman" w:hAnsi="Times New Roman"/>
          <w:sz w:val="24"/>
          <w:szCs w:val="24"/>
        </w:rPr>
        <w:t>Mugnai</w:t>
      </w:r>
      <w:proofErr w:type="spellEnd"/>
      <w:r w:rsidR="003B52F4">
        <w:rPr>
          <w:rFonts w:ascii="Times New Roman" w:hAnsi="Times New Roman"/>
          <w:sz w:val="24"/>
          <w:szCs w:val="24"/>
        </w:rPr>
        <w:t xml:space="preserve"> és </w:t>
      </w:r>
      <w:proofErr w:type="spellStart"/>
      <w:r w:rsidR="003B52F4">
        <w:rPr>
          <w:rFonts w:ascii="Times New Roman" w:hAnsi="Times New Roman"/>
          <w:sz w:val="24"/>
          <w:szCs w:val="24"/>
        </w:rPr>
        <w:t>mtsai</w:t>
      </w:r>
      <w:proofErr w:type="spellEnd"/>
      <w:r w:rsidR="003B52F4">
        <w:rPr>
          <w:rFonts w:ascii="Times New Roman" w:hAnsi="Times New Roman"/>
          <w:sz w:val="24"/>
          <w:szCs w:val="24"/>
        </w:rPr>
        <w:t>, 1999).</w:t>
      </w:r>
      <w:r w:rsidR="00217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Az </w:t>
      </w:r>
      <w:proofErr w:type="spellStart"/>
      <w:r>
        <w:rPr>
          <w:rFonts w:ascii="Times New Roman" w:hAnsi="Times New Roman"/>
          <w:sz w:val="24"/>
          <w:szCs w:val="24"/>
        </w:rPr>
        <w:t>Esca</w:t>
      </w:r>
      <w:proofErr w:type="spellEnd"/>
      <w:r>
        <w:rPr>
          <w:rFonts w:ascii="Times New Roman" w:hAnsi="Times New Roman"/>
          <w:sz w:val="24"/>
          <w:szCs w:val="24"/>
        </w:rPr>
        <w:t xml:space="preserve"> típusú megbetegedéseknek közös jellemzője, hogy akut és krónikus megjelenési formáj</w:t>
      </w:r>
      <w:r w:rsidR="008668F7">
        <w:rPr>
          <w:rFonts w:ascii="Times New Roman" w:hAnsi="Times New Roman"/>
          <w:sz w:val="24"/>
          <w:szCs w:val="24"/>
        </w:rPr>
        <w:t>uk</w:t>
      </w:r>
      <w:r>
        <w:rPr>
          <w:rFonts w:ascii="Times New Roman" w:hAnsi="Times New Roman"/>
          <w:sz w:val="24"/>
          <w:szCs w:val="24"/>
        </w:rPr>
        <w:t xml:space="preserve"> is van. Akut forma ese</w:t>
      </w:r>
      <w:r w:rsidR="007851D0">
        <w:rPr>
          <w:rFonts w:ascii="Times New Roman" w:hAnsi="Times New Roman"/>
          <w:sz w:val="24"/>
          <w:szCs w:val="24"/>
        </w:rPr>
        <w:t xml:space="preserve">tén a betegség gyors lefolyású </w:t>
      </w:r>
      <w:r>
        <w:rPr>
          <w:rFonts w:ascii="Times New Roman" w:hAnsi="Times New Roman"/>
          <w:sz w:val="24"/>
          <w:szCs w:val="24"/>
        </w:rPr>
        <w:t xml:space="preserve">és elhalással jár. Krónikus </w:t>
      </w:r>
      <w:r w:rsidR="003A15C8">
        <w:rPr>
          <w:rFonts w:ascii="Times New Roman" w:hAnsi="Times New Roman"/>
          <w:sz w:val="24"/>
          <w:szCs w:val="24"/>
        </w:rPr>
        <w:t>esetben a</w:t>
      </w:r>
      <w:r w:rsidR="00E353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levelek</w:t>
      </w:r>
      <w:r w:rsidR="00554537">
        <w:rPr>
          <w:rFonts w:ascii="Times New Roman" w:hAnsi="Times New Roman"/>
          <w:sz w:val="24"/>
          <w:szCs w:val="24"/>
        </w:rPr>
        <w:t xml:space="preserve"> érközi </w:t>
      </w:r>
      <w:proofErr w:type="gramStart"/>
      <w:r w:rsidR="00554537">
        <w:rPr>
          <w:rFonts w:ascii="Times New Roman" w:hAnsi="Times New Roman"/>
          <w:sz w:val="24"/>
          <w:szCs w:val="24"/>
        </w:rPr>
        <w:t>mező</w:t>
      </w:r>
      <w:r w:rsidR="0056498F">
        <w:rPr>
          <w:rFonts w:ascii="Times New Roman" w:hAnsi="Times New Roman"/>
          <w:sz w:val="24"/>
          <w:szCs w:val="24"/>
        </w:rPr>
        <w:t>i</w:t>
      </w:r>
      <w:r w:rsidR="00670060">
        <w:rPr>
          <w:rFonts w:ascii="Times New Roman" w:hAnsi="Times New Roman"/>
          <w:sz w:val="24"/>
          <w:szCs w:val="24"/>
        </w:rPr>
        <w:t>ben</w:t>
      </w:r>
      <w:proofErr w:type="gramEnd"/>
      <w:r w:rsidR="00670060">
        <w:rPr>
          <w:rFonts w:ascii="Times New Roman" w:hAnsi="Times New Roman"/>
          <w:sz w:val="24"/>
          <w:szCs w:val="24"/>
        </w:rPr>
        <w:t xml:space="preserve"> kezdetben apró,</w:t>
      </w:r>
      <w:r w:rsidR="00554537">
        <w:rPr>
          <w:rFonts w:ascii="Times New Roman" w:hAnsi="Times New Roman"/>
          <w:sz w:val="24"/>
          <w:szCs w:val="24"/>
        </w:rPr>
        <w:t xml:space="preserve"> sárguló pontok láthatók, melyek később n</w:t>
      </w:r>
      <w:r w:rsidR="00984A79">
        <w:rPr>
          <w:rFonts w:ascii="Times New Roman" w:hAnsi="Times New Roman"/>
          <w:sz w:val="24"/>
          <w:szCs w:val="24"/>
        </w:rPr>
        <w:t>agyobb sárga</w:t>
      </w:r>
      <w:r w:rsidR="00554537">
        <w:rPr>
          <w:rFonts w:ascii="Times New Roman" w:hAnsi="Times New Roman"/>
          <w:sz w:val="24"/>
          <w:szCs w:val="24"/>
        </w:rPr>
        <w:t>, kék fajtáknál vörösesbarna foltokká fejlődnek, majd ún. „tigriscsíkoltság” érközi és levélszél nekrózis jelenik meg (</w:t>
      </w:r>
      <w:proofErr w:type="spellStart"/>
      <w:r w:rsidR="00554537">
        <w:rPr>
          <w:rFonts w:ascii="Times New Roman" w:hAnsi="Times New Roman"/>
          <w:sz w:val="24"/>
          <w:szCs w:val="24"/>
        </w:rPr>
        <w:t>Dula</w:t>
      </w:r>
      <w:proofErr w:type="spellEnd"/>
      <w:r w:rsidR="00554537">
        <w:rPr>
          <w:rFonts w:ascii="Times New Roman" w:hAnsi="Times New Roman"/>
          <w:sz w:val="24"/>
          <w:szCs w:val="24"/>
        </w:rPr>
        <w:t>, 2007).</w:t>
      </w:r>
    </w:p>
    <w:p w:rsidR="0010579C" w:rsidRDefault="00416E82" w:rsidP="00AE7539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Mugnai</w:t>
      </w:r>
      <w:proofErr w:type="spellEnd"/>
      <w:r>
        <w:rPr>
          <w:rFonts w:ascii="Times New Roman" w:hAnsi="Times New Roman"/>
          <w:sz w:val="24"/>
          <w:szCs w:val="24"/>
        </w:rPr>
        <w:t xml:space="preserve"> és </w:t>
      </w:r>
      <w:proofErr w:type="spellStart"/>
      <w:r>
        <w:rPr>
          <w:rFonts w:ascii="Times New Roman" w:hAnsi="Times New Roman"/>
          <w:sz w:val="24"/>
          <w:szCs w:val="24"/>
        </w:rPr>
        <w:t>mtsai</w:t>
      </w:r>
      <w:proofErr w:type="spellEnd"/>
      <w:r>
        <w:rPr>
          <w:rFonts w:ascii="Times New Roman" w:hAnsi="Times New Roman"/>
          <w:sz w:val="24"/>
          <w:szCs w:val="24"/>
        </w:rPr>
        <w:t xml:space="preserve"> (1999) </w:t>
      </w:r>
      <w:r w:rsidR="00060947">
        <w:rPr>
          <w:rFonts w:ascii="Times New Roman" w:hAnsi="Times New Roman"/>
          <w:sz w:val="24"/>
          <w:szCs w:val="24"/>
        </w:rPr>
        <w:t>1992-1995</w:t>
      </w:r>
      <w:r>
        <w:rPr>
          <w:rFonts w:ascii="Times New Roman" w:hAnsi="Times New Roman"/>
          <w:sz w:val="24"/>
          <w:szCs w:val="24"/>
        </w:rPr>
        <w:t xml:space="preserve"> </w:t>
      </w:r>
      <w:r w:rsidR="00CE7720">
        <w:rPr>
          <w:rFonts w:ascii="Times New Roman" w:hAnsi="Times New Roman"/>
          <w:sz w:val="24"/>
          <w:szCs w:val="24"/>
        </w:rPr>
        <w:t xml:space="preserve">között végzett </w:t>
      </w:r>
      <w:r w:rsidR="0056498F">
        <w:rPr>
          <w:rFonts w:ascii="Times New Roman" w:hAnsi="Times New Roman"/>
          <w:sz w:val="24"/>
          <w:szCs w:val="24"/>
        </w:rPr>
        <w:t>vizsgálat</w:t>
      </w:r>
      <w:r w:rsidR="00CE7720">
        <w:rPr>
          <w:rFonts w:ascii="Times New Roman" w:hAnsi="Times New Roman"/>
          <w:sz w:val="24"/>
          <w:szCs w:val="24"/>
        </w:rPr>
        <w:t>ai</w:t>
      </w:r>
      <w:r w:rsidR="00564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alapján</w:t>
      </w:r>
      <w:r w:rsidR="001946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fertőzött növényeknek</w:t>
      </w:r>
      <w:r w:rsidR="00813BB6">
        <w:rPr>
          <w:rFonts w:ascii="Times New Roman" w:hAnsi="Times New Roman"/>
          <w:sz w:val="24"/>
          <w:szCs w:val="24"/>
        </w:rPr>
        <w:t xml:space="preserve"> csak mintegy 3</w:t>
      </w:r>
      <w:r w:rsidR="00212D3E">
        <w:rPr>
          <w:rFonts w:ascii="Times New Roman" w:hAnsi="Times New Roman"/>
          <w:sz w:val="24"/>
          <w:szCs w:val="24"/>
        </w:rPr>
        <w:t xml:space="preserve"> %-a mutatta az </w:t>
      </w:r>
      <w:proofErr w:type="spellStart"/>
      <w:r w:rsidR="00212D3E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sca</w:t>
      </w:r>
      <w:proofErr w:type="spellEnd"/>
      <w:r>
        <w:rPr>
          <w:rFonts w:ascii="Times New Roman" w:hAnsi="Times New Roman"/>
          <w:sz w:val="24"/>
          <w:szCs w:val="24"/>
        </w:rPr>
        <w:t xml:space="preserve"> tüneteit mind a 4 </w:t>
      </w:r>
      <w:r w:rsidR="00EC442C">
        <w:rPr>
          <w:rFonts w:ascii="Times New Roman" w:hAnsi="Times New Roman"/>
          <w:sz w:val="24"/>
          <w:szCs w:val="24"/>
        </w:rPr>
        <w:t>évben</w:t>
      </w:r>
      <w:r w:rsidR="000A230D">
        <w:rPr>
          <w:rFonts w:ascii="Times New Roman" w:hAnsi="Times New Roman"/>
          <w:sz w:val="24"/>
          <w:szCs w:val="24"/>
        </w:rPr>
        <w:t>. A tőkék</w:t>
      </w:r>
      <w:r w:rsidR="00EC4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11,5 %-án jelentkeztek a tünetek 3</w:t>
      </w:r>
      <w:r w:rsidR="00EC442C">
        <w:rPr>
          <w:rFonts w:ascii="Times New Roman" w:hAnsi="Times New Roman"/>
          <w:sz w:val="24"/>
          <w:szCs w:val="24"/>
        </w:rPr>
        <w:t xml:space="preserve">, </w:t>
      </w:r>
      <w:r w:rsidR="002F695C">
        <w:rPr>
          <w:rFonts w:ascii="Times New Roman" w:hAnsi="Times New Roman"/>
          <w:sz w:val="24"/>
          <w:szCs w:val="24"/>
        </w:rPr>
        <w:t xml:space="preserve">valamint </w:t>
      </w:r>
      <w:r w:rsidR="00EC442C">
        <w:rPr>
          <w:rFonts w:ascii="Times New Roman" w:hAnsi="Times New Roman"/>
          <w:sz w:val="24"/>
          <w:szCs w:val="24"/>
        </w:rPr>
        <w:t>4,2</w:t>
      </w:r>
      <w:r w:rsidR="00FB77DA">
        <w:rPr>
          <w:rFonts w:ascii="Times New Roman" w:hAnsi="Times New Roman"/>
          <w:sz w:val="24"/>
          <w:szCs w:val="24"/>
        </w:rPr>
        <w:t xml:space="preserve"> </w:t>
      </w:r>
      <w:r w:rsidR="00EC442C">
        <w:rPr>
          <w:rFonts w:ascii="Times New Roman" w:hAnsi="Times New Roman"/>
          <w:sz w:val="24"/>
          <w:szCs w:val="24"/>
        </w:rPr>
        <w:t>%-án</w:t>
      </w:r>
      <w:r>
        <w:rPr>
          <w:rFonts w:ascii="Times New Roman" w:hAnsi="Times New Roman"/>
          <w:sz w:val="24"/>
          <w:szCs w:val="24"/>
        </w:rPr>
        <w:t xml:space="preserve"> a </w:t>
      </w:r>
      <w:r w:rsidR="00EC442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3BF0">
        <w:rPr>
          <w:rFonts w:ascii="Times New Roman" w:hAnsi="Times New Roman"/>
          <w:sz w:val="24"/>
          <w:szCs w:val="24"/>
        </w:rPr>
        <w:t>egymás</w:t>
      </w:r>
      <w:r w:rsidR="00A3270C" w:rsidRPr="00013BF0">
        <w:rPr>
          <w:rFonts w:ascii="Times New Roman" w:hAnsi="Times New Roman"/>
          <w:sz w:val="24"/>
          <w:szCs w:val="24"/>
        </w:rPr>
        <w:t>t</w:t>
      </w:r>
      <w:r w:rsidRPr="00013BF0">
        <w:rPr>
          <w:rFonts w:ascii="Times New Roman" w:hAnsi="Times New Roman"/>
          <w:sz w:val="24"/>
          <w:szCs w:val="24"/>
        </w:rPr>
        <w:t xml:space="preserve"> </w:t>
      </w:r>
      <w:r w:rsidR="00A3270C" w:rsidRPr="00013BF0">
        <w:rPr>
          <w:rFonts w:ascii="Times New Roman" w:hAnsi="Times New Roman"/>
          <w:sz w:val="24"/>
          <w:szCs w:val="24"/>
        </w:rPr>
        <w:t>követő</w:t>
      </w:r>
      <w:r w:rsidRPr="00013B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évben</w:t>
      </w:r>
      <w:r w:rsidR="00B545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 vizsgá</w:t>
      </w:r>
      <w:r w:rsidR="00EC442C">
        <w:rPr>
          <w:rFonts w:ascii="Times New Roman" w:hAnsi="Times New Roman"/>
          <w:sz w:val="24"/>
          <w:szCs w:val="24"/>
        </w:rPr>
        <w:t xml:space="preserve">lt állomány 53 %-án </w:t>
      </w:r>
      <w:r w:rsidR="000A230D">
        <w:rPr>
          <w:rFonts w:ascii="Times New Roman" w:hAnsi="Times New Roman"/>
          <w:sz w:val="24"/>
          <w:szCs w:val="24"/>
        </w:rPr>
        <w:t xml:space="preserve">pedig csak </w:t>
      </w:r>
      <w:r w:rsidR="00EC442C">
        <w:rPr>
          <w:rFonts w:ascii="Times New Roman" w:hAnsi="Times New Roman"/>
          <w:sz w:val="24"/>
          <w:szCs w:val="24"/>
        </w:rPr>
        <w:t>a 4 év valamely</w:t>
      </w:r>
      <w:r w:rsidR="00A950EF">
        <w:rPr>
          <w:rFonts w:ascii="Times New Roman" w:hAnsi="Times New Roman"/>
          <w:sz w:val="24"/>
          <w:szCs w:val="24"/>
        </w:rPr>
        <w:t>ikében</w:t>
      </w:r>
      <w:r w:rsidR="0056498F">
        <w:rPr>
          <w:rFonts w:ascii="Times New Roman" w:hAnsi="Times New Roman"/>
          <w:sz w:val="24"/>
          <w:szCs w:val="24"/>
        </w:rPr>
        <w:t xml:space="preserve"> figyeltek meg tüneteket</w:t>
      </w:r>
      <w:r w:rsidR="00212D3E">
        <w:rPr>
          <w:rFonts w:ascii="Times New Roman" w:hAnsi="Times New Roman"/>
          <w:sz w:val="24"/>
          <w:szCs w:val="24"/>
        </w:rPr>
        <w:t>.</w:t>
      </w:r>
      <w:r w:rsidR="00A327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6575" w:rsidRPr="00DD355B">
        <w:rPr>
          <w:rFonts w:ascii="Times New Roman" w:hAnsi="Times New Roman"/>
          <w:sz w:val="24"/>
          <w:szCs w:val="24"/>
        </w:rPr>
        <w:t>Surico</w:t>
      </w:r>
      <w:proofErr w:type="spellEnd"/>
      <w:r w:rsidR="002B6575" w:rsidRPr="00DD355B">
        <w:rPr>
          <w:rFonts w:ascii="Times New Roman" w:hAnsi="Times New Roman"/>
          <w:sz w:val="24"/>
          <w:szCs w:val="24"/>
        </w:rPr>
        <w:t xml:space="preserve"> és </w:t>
      </w:r>
      <w:proofErr w:type="spellStart"/>
      <w:r w:rsidR="002B6575" w:rsidRPr="00DD355B">
        <w:rPr>
          <w:rFonts w:ascii="Times New Roman" w:hAnsi="Times New Roman"/>
          <w:sz w:val="24"/>
          <w:szCs w:val="24"/>
        </w:rPr>
        <w:t>mtsai</w:t>
      </w:r>
      <w:proofErr w:type="spellEnd"/>
      <w:r w:rsidR="002B6575" w:rsidRPr="00DD355B">
        <w:rPr>
          <w:rFonts w:ascii="Times New Roman" w:hAnsi="Times New Roman"/>
          <w:sz w:val="24"/>
          <w:szCs w:val="24"/>
        </w:rPr>
        <w:t xml:space="preserve"> (2000)</w:t>
      </w:r>
      <w:r w:rsidR="002F695C">
        <w:rPr>
          <w:rFonts w:ascii="Times New Roman" w:hAnsi="Times New Roman"/>
          <w:sz w:val="24"/>
          <w:szCs w:val="24"/>
        </w:rPr>
        <w:t xml:space="preserve"> </w:t>
      </w:r>
      <w:r w:rsidR="0032150C">
        <w:rPr>
          <w:rFonts w:ascii="Times New Roman" w:hAnsi="Times New Roman"/>
          <w:sz w:val="24"/>
          <w:szCs w:val="24"/>
        </w:rPr>
        <w:t>úgy</w:t>
      </w:r>
      <w:r w:rsidR="000A230D">
        <w:rPr>
          <w:rFonts w:ascii="Times New Roman" w:hAnsi="Times New Roman"/>
          <w:sz w:val="24"/>
          <w:szCs w:val="24"/>
        </w:rPr>
        <w:t xml:space="preserve"> ítélték meg</w:t>
      </w:r>
      <w:r w:rsidR="0032150C">
        <w:rPr>
          <w:rFonts w:ascii="Times New Roman" w:hAnsi="Times New Roman"/>
          <w:sz w:val="24"/>
          <w:szCs w:val="24"/>
        </w:rPr>
        <w:t>, hogy</w:t>
      </w:r>
      <w:r w:rsidR="00104C34">
        <w:rPr>
          <w:rFonts w:ascii="Times New Roman" w:hAnsi="Times New Roman"/>
          <w:sz w:val="24"/>
          <w:szCs w:val="24"/>
        </w:rPr>
        <w:t xml:space="preserve"> egy </w:t>
      </w:r>
      <w:r w:rsidR="00212D3E">
        <w:rPr>
          <w:rFonts w:ascii="Times New Roman" w:hAnsi="Times New Roman"/>
          <w:sz w:val="24"/>
          <w:szCs w:val="24"/>
        </w:rPr>
        <w:t xml:space="preserve">esős nyár jobban kedvez az </w:t>
      </w:r>
      <w:proofErr w:type="spellStart"/>
      <w:r w:rsidR="00212D3E">
        <w:rPr>
          <w:rFonts w:ascii="Times New Roman" w:hAnsi="Times New Roman"/>
          <w:sz w:val="24"/>
          <w:szCs w:val="24"/>
        </w:rPr>
        <w:t>E</w:t>
      </w:r>
      <w:r w:rsidR="00104C34">
        <w:rPr>
          <w:rFonts w:ascii="Times New Roman" w:hAnsi="Times New Roman"/>
          <w:sz w:val="24"/>
          <w:szCs w:val="24"/>
        </w:rPr>
        <w:t>sca</w:t>
      </w:r>
      <w:proofErr w:type="spellEnd"/>
      <w:r w:rsidR="00104C34">
        <w:rPr>
          <w:rFonts w:ascii="Times New Roman" w:hAnsi="Times New Roman"/>
          <w:sz w:val="24"/>
          <w:szCs w:val="24"/>
        </w:rPr>
        <w:t xml:space="preserve"> krónikus formájának, a forró száraz nyár pedig </w:t>
      </w:r>
      <w:r w:rsidR="00984A79">
        <w:rPr>
          <w:rFonts w:ascii="Times New Roman" w:hAnsi="Times New Roman"/>
          <w:sz w:val="24"/>
          <w:szCs w:val="24"/>
        </w:rPr>
        <w:t>az akut forma megjelenésének</w:t>
      </w:r>
      <w:r w:rsidR="00104C34">
        <w:rPr>
          <w:rFonts w:ascii="Times New Roman" w:hAnsi="Times New Roman"/>
          <w:sz w:val="24"/>
          <w:szCs w:val="24"/>
        </w:rPr>
        <w:t>.</w:t>
      </w:r>
      <w:r w:rsidR="0010579C" w:rsidRPr="00105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1081">
        <w:rPr>
          <w:rFonts w:ascii="Times New Roman" w:hAnsi="Times New Roman"/>
          <w:sz w:val="24"/>
          <w:szCs w:val="24"/>
        </w:rPr>
        <w:t>Munoz</w:t>
      </w:r>
      <w:proofErr w:type="spellEnd"/>
      <w:r w:rsidR="001A1081">
        <w:rPr>
          <w:rFonts w:ascii="Times New Roman" w:hAnsi="Times New Roman"/>
          <w:sz w:val="24"/>
          <w:szCs w:val="24"/>
        </w:rPr>
        <w:t xml:space="preserve"> és </w:t>
      </w:r>
      <w:proofErr w:type="spellStart"/>
      <w:r w:rsidR="001A1081">
        <w:rPr>
          <w:rFonts w:ascii="Times New Roman" w:hAnsi="Times New Roman"/>
          <w:sz w:val="24"/>
          <w:szCs w:val="24"/>
        </w:rPr>
        <w:t>mtsai</w:t>
      </w:r>
      <w:proofErr w:type="spellEnd"/>
      <w:r w:rsidR="001A1081">
        <w:rPr>
          <w:rFonts w:ascii="Times New Roman" w:hAnsi="Times New Roman"/>
          <w:sz w:val="24"/>
          <w:szCs w:val="24"/>
        </w:rPr>
        <w:t xml:space="preserve"> (2012)</w:t>
      </w:r>
      <w:r w:rsidR="002B6575">
        <w:rPr>
          <w:rFonts w:ascii="Times New Roman" w:hAnsi="Times New Roman"/>
          <w:sz w:val="24"/>
          <w:szCs w:val="24"/>
        </w:rPr>
        <w:t xml:space="preserve"> </w:t>
      </w:r>
      <w:r w:rsidR="00197FDF">
        <w:rPr>
          <w:rFonts w:ascii="Times New Roman" w:hAnsi="Times New Roman"/>
          <w:sz w:val="24"/>
          <w:szCs w:val="24"/>
        </w:rPr>
        <w:t xml:space="preserve">spanyolországi tapasztalata szerint </w:t>
      </w:r>
      <w:r w:rsidR="0010579C">
        <w:rPr>
          <w:rFonts w:ascii="Times New Roman" w:hAnsi="Times New Roman"/>
          <w:sz w:val="24"/>
          <w:szCs w:val="24"/>
        </w:rPr>
        <w:t>az alacsonyabb évi csapadékmennyiség</w:t>
      </w:r>
      <w:r w:rsidR="002B6575">
        <w:rPr>
          <w:rFonts w:ascii="Times New Roman" w:hAnsi="Times New Roman"/>
          <w:sz w:val="24"/>
          <w:szCs w:val="24"/>
        </w:rPr>
        <w:t>hez</w:t>
      </w:r>
      <w:r w:rsidR="0010579C">
        <w:rPr>
          <w:rFonts w:ascii="Times New Roman" w:hAnsi="Times New Roman"/>
          <w:sz w:val="24"/>
          <w:szCs w:val="24"/>
        </w:rPr>
        <w:t xml:space="preserve"> alacsonyabb tünet előfordulás</w:t>
      </w:r>
      <w:r w:rsidR="002B6575">
        <w:rPr>
          <w:rFonts w:ascii="Times New Roman" w:hAnsi="Times New Roman"/>
          <w:sz w:val="24"/>
          <w:szCs w:val="24"/>
        </w:rPr>
        <w:t xml:space="preserve"> társul</w:t>
      </w:r>
      <w:r w:rsidR="0010579C">
        <w:rPr>
          <w:rFonts w:ascii="Times New Roman" w:hAnsi="Times New Roman"/>
          <w:sz w:val="24"/>
          <w:szCs w:val="24"/>
        </w:rPr>
        <w:t>.</w:t>
      </w:r>
    </w:p>
    <w:p w:rsidR="000A230D" w:rsidRDefault="00CE1C59" w:rsidP="00AE7539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Kutatásunk</w:t>
      </w:r>
      <w:r w:rsidRPr="00CE1C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célja, hogy</w:t>
      </w:r>
      <w:r w:rsidR="00FB77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felderítsük azokat az okokat</w:t>
      </w:r>
      <w:r w:rsidR="002E52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amelyek </w:t>
      </w:r>
      <w:r w:rsidR="000A230D">
        <w:rPr>
          <w:rFonts w:ascii="Times New Roman" w:hAnsi="Times New Roman"/>
          <w:sz w:val="24"/>
          <w:szCs w:val="24"/>
        </w:rPr>
        <w:t>a faszöveti</w:t>
      </w:r>
      <w:r w:rsidRPr="00CE1C59">
        <w:rPr>
          <w:rFonts w:ascii="Times New Roman" w:hAnsi="Times New Roman"/>
          <w:sz w:val="24"/>
          <w:szCs w:val="24"/>
        </w:rPr>
        <w:t xml:space="preserve"> megbetegedések</w:t>
      </w:r>
      <w:r w:rsidR="002472C4">
        <w:rPr>
          <w:rFonts w:ascii="Times New Roman" w:hAnsi="Times New Roman"/>
          <w:sz w:val="24"/>
          <w:szCs w:val="24"/>
        </w:rPr>
        <w:t xml:space="preserve"> tüneteinek</w:t>
      </w:r>
      <w:r w:rsidR="000A230D">
        <w:rPr>
          <w:rFonts w:ascii="Times New Roman" w:hAnsi="Times New Roman"/>
          <w:sz w:val="24"/>
          <w:szCs w:val="24"/>
        </w:rPr>
        <w:t xml:space="preserve"> </w:t>
      </w:r>
      <w:r w:rsidR="002472C4">
        <w:rPr>
          <w:rFonts w:ascii="Times New Roman" w:hAnsi="Times New Roman"/>
          <w:sz w:val="24"/>
          <w:szCs w:val="24"/>
        </w:rPr>
        <w:t>megjelenéséhez hozzájárulnak</w:t>
      </w:r>
      <w:r>
        <w:rPr>
          <w:rFonts w:ascii="Times New Roman" w:hAnsi="Times New Roman"/>
          <w:sz w:val="24"/>
          <w:szCs w:val="24"/>
        </w:rPr>
        <w:t xml:space="preserve">, </w:t>
      </w:r>
      <w:r w:rsidR="002472C4">
        <w:rPr>
          <w:rFonts w:ascii="Times New Roman" w:hAnsi="Times New Roman"/>
          <w:sz w:val="24"/>
          <w:szCs w:val="24"/>
        </w:rPr>
        <w:t>e</w:t>
      </w:r>
      <w:r w:rsidR="0019465E">
        <w:rPr>
          <w:rFonts w:ascii="Times New Roman" w:hAnsi="Times New Roman"/>
          <w:sz w:val="24"/>
          <w:szCs w:val="24"/>
        </w:rPr>
        <w:t>z</w:t>
      </w:r>
      <w:r w:rsidR="0033771C">
        <w:rPr>
          <w:rFonts w:ascii="Times New Roman" w:hAnsi="Times New Roman"/>
          <w:sz w:val="24"/>
          <w:szCs w:val="24"/>
        </w:rPr>
        <w:t>ek ismerete segítséget nyújthat</w:t>
      </w:r>
      <w:r w:rsidR="002472C4">
        <w:rPr>
          <w:rFonts w:ascii="Times New Roman" w:hAnsi="Times New Roman"/>
          <w:sz w:val="24"/>
          <w:szCs w:val="24"/>
        </w:rPr>
        <w:t xml:space="preserve"> a gazdasági károk</w:t>
      </w:r>
      <w:r w:rsidRPr="00CE1C59">
        <w:rPr>
          <w:rFonts w:ascii="Times New Roman" w:hAnsi="Times New Roman"/>
          <w:sz w:val="24"/>
          <w:szCs w:val="24"/>
        </w:rPr>
        <w:t xml:space="preserve"> mérsék</w:t>
      </w:r>
      <w:r>
        <w:rPr>
          <w:rFonts w:ascii="Times New Roman" w:hAnsi="Times New Roman"/>
          <w:sz w:val="24"/>
          <w:szCs w:val="24"/>
        </w:rPr>
        <w:t>l</w:t>
      </w:r>
      <w:r w:rsidR="00FB77DA">
        <w:rPr>
          <w:rFonts w:ascii="Times New Roman" w:hAnsi="Times New Roman"/>
          <w:sz w:val="24"/>
          <w:szCs w:val="24"/>
        </w:rPr>
        <w:t>ésé</w:t>
      </w:r>
      <w:r w:rsidR="002472C4">
        <w:rPr>
          <w:rFonts w:ascii="Times New Roman" w:hAnsi="Times New Roman"/>
          <w:sz w:val="24"/>
          <w:szCs w:val="24"/>
        </w:rPr>
        <w:t>h</w:t>
      </w:r>
      <w:r w:rsidR="00FB77DA">
        <w:rPr>
          <w:rFonts w:ascii="Times New Roman" w:hAnsi="Times New Roman"/>
          <w:sz w:val="24"/>
          <w:szCs w:val="24"/>
        </w:rPr>
        <w:t>e</w:t>
      </w:r>
      <w:r w:rsidR="002472C4">
        <w:rPr>
          <w:rFonts w:ascii="Times New Roman" w:hAnsi="Times New Roman"/>
          <w:sz w:val="24"/>
          <w:szCs w:val="24"/>
        </w:rPr>
        <w:t>z</w:t>
      </w:r>
      <w:r w:rsidR="00FB77DA">
        <w:rPr>
          <w:rFonts w:ascii="Times New Roman" w:hAnsi="Times New Roman"/>
          <w:sz w:val="24"/>
          <w:szCs w:val="24"/>
        </w:rPr>
        <w:t>.</w:t>
      </w:r>
    </w:p>
    <w:p w:rsidR="00A3270C" w:rsidRDefault="00A3270C" w:rsidP="00AE7539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9390F" w:rsidRDefault="0049390F" w:rsidP="00AE753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Pr="00852544">
        <w:rPr>
          <w:rFonts w:ascii="Times New Roman" w:hAnsi="Times New Roman"/>
          <w:b/>
          <w:sz w:val="24"/>
          <w:szCs w:val="24"/>
        </w:rPr>
        <w:t>nyag és módszer</w:t>
      </w:r>
      <w:r>
        <w:rPr>
          <w:rFonts w:ascii="Times New Roman" w:hAnsi="Times New Roman"/>
          <w:b/>
          <w:sz w:val="24"/>
          <w:szCs w:val="24"/>
        </w:rPr>
        <w:t>ek</w:t>
      </w:r>
    </w:p>
    <w:p w:rsidR="00D6072A" w:rsidRPr="00852544" w:rsidRDefault="00D6072A" w:rsidP="00AE753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90F" w:rsidRPr="00852544" w:rsidRDefault="0049390F" w:rsidP="00AE7539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52544">
        <w:rPr>
          <w:rFonts w:ascii="Times New Roman" w:hAnsi="Times New Roman"/>
          <w:sz w:val="24"/>
          <w:szCs w:val="24"/>
        </w:rPr>
        <w:t>A szőlő fás részeinek b</w:t>
      </w:r>
      <w:r w:rsidR="00375DC3">
        <w:rPr>
          <w:rFonts w:ascii="Times New Roman" w:hAnsi="Times New Roman"/>
          <w:sz w:val="24"/>
          <w:szCs w:val="24"/>
        </w:rPr>
        <w:t xml:space="preserve">etegségei közül az </w:t>
      </w:r>
      <w:proofErr w:type="spellStart"/>
      <w:r w:rsidR="00375DC3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sca</w:t>
      </w:r>
      <w:proofErr w:type="spellEnd"/>
      <w:r>
        <w:rPr>
          <w:rFonts w:ascii="Times New Roman" w:hAnsi="Times New Roman"/>
          <w:sz w:val="24"/>
          <w:szCs w:val="24"/>
        </w:rPr>
        <w:t xml:space="preserve"> és a BDA</w:t>
      </w:r>
      <w:r w:rsidR="00C914F7">
        <w:rPr>
          <w:rFonts w:ascii="Times New Roman" w:hAnsi="Times New Roman"/>
          <w:sz w:val="24"/>
          <w:szCs w:val="24"/>
        </w:rPr>
        <w:t xml:space="preserve"> </w:t>
      </w:r>
      <w:r w:rsidR="00D8431F">
        <w:rPr>
          <w:rFonts w:ascii="Times New Roman" w:hAnsi="Times New Roman"/>
          <w:sz w:val="24"/>
          <w:szCs w:val="24"/>
        </w:rPr>
        <w:t xml:space="preserve">fertőzött és tüneteket mutató </w:t>
      </w:r>
      <w:r w:rsidRPr="00852544">
        <w:rPr>
          <w:rFonts w:ascii="Times New Roman" w:hAnsi="Times New Roman"/>
          <w:sz w:val="24"/>
          <w:szCs w:val="24"/>
        </w:rPr>
        <w:t>tőkék felmérésére ker</w:t>
      </w:r>
      <w:r>
        <w:rPr>
          <w:rFonts w:ascii="Times New Roman" w:hAnsi="Times New Roman"/>
          <w:sz w:val="24"/>
          <w:szCs w:val="24"/>
        </w:rPr>
        <w:t>ült sor a Pécsi Tudományegyetem</w:t>
      </w:r>
      <w:r w:rsidRPr="00852544">
        <w:rPr>
          <w:rFonts w:ascii="Times New Roman" w:hAnsi="Times New Roman"/>
          <w:sz w:val="24"/>
          <w:szCs w:val="24"/>
        </w:rPr>
        <w:t xml:space="preserve"> Szőlészeti és Borászati Kutatóintézet </w:t>
      </w:r>
      <w:proofErr w:type="spellStart"/>
      <w:r w:rsidRPr="00852544">
        <w:rPr>
          <w:rFonts w:ascii="Times New Roman" w:hAnsi="Times New Roman"/>
          <w:sz w:val="24"/>
          <w:szCs w:val="24"/>
        </w:rPr>
        <w:t>Szentmiklós-hegy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Telepén </w:t>
      </w:r>
      <w:r w:rsidR="004E5ED1">
        <w:rPr>
          <w:rFonts w:ascii="Times New Roman" w:hAnsi="Times New Roman"/>
          <w:sz w:val="24"/>
          <w:szCs w:val="24"/>
        </w:rPr>
        <w:t>2013-</w:t>
      </w:r>
      <w:r w:rsidR="002F695C">
        <w:rPr>
          <w:rFonts w:ascii="Times New Roman" w:hAnsi="Times New Roman"/>
          <w:sz w:val="24"/>
          <w:szCs w:val="24"/>
        </w:rPr>
        <w:t xml:space="preserve">tól </w:t>
      </w:r>
      <w:r>
        <w:rPr>
          <w:rFonts w:ascii="Times New Roman" w:hAnsi="Times New Roman"/>
          <w:sz w:val="24"/>
          <w:szCs w:val="24"/>
        </w:rPr>
        <w:t>2015-</w:t>
      </w:r>
      <w:r w:rsidR="002F695C">
        <w:rPr>
          <w:rFonts w:ascii="Times New Roman" w:hAnsi="Times New Roman"/>
          <w:sz w:val="24"/>
          <w:szCs w:val="24"/>
        </w:rPr>
        <w:t>ig</w:t>
      </w:r>
      <w:r>
        <w:rPr>
          <w:rFonts w:ascii="Times New Roman" w:hAnsi="Times New Roman"/>
          <w:sz w:val="24"/>
          <w:szCs w:val="24"/>
        </w:rPr>
        <w:t>.</w:t>
      </w:r>
      <w:r w:rsidR="00C11C9C">
        <w:rPr>
          <w:rFonts w:ascii="Times New Roman" w:hAnsi="Times New Roman"/>
          <w:sz w:val="24"/>
          <w:szCs w:val="24"/>
        </w:rPr>
        <w:t xml:space="preserve"> A két betegség a </w:t>
      </w:r>
      <w:r w:rsidR="00B566D2">
        <w:rPr>
          <w:rFonts w:ascii="Times New Roman" w:hAnsi="Times New Roman"/>
          <w:sz w:val="24"/>
          <w:szCs w:val="24"/>
        </w:rPr>
        <w:t>leveleken</w:t>
      </w:r>
      <w:r w:rsidR="004E5ED1">
        <w:rPr>
          <w:rFonts w:ascii="Times New Roman" w:hAnsi="Times New Roman"/>
          <w:sz w:val="24"/>
          <w:szCs w:val="24"/>
        </w:rPr>
        <w:t xml:space="preserve"> </w:t>
      </w:r>
      <w:r w:rsidR="00C11C9C" w:rsidRPr="001A1081">
        <w:rPr>
          <w:rFonts w:ascii="Times New Roman" w:hAnsi="Times New Roman"/>
          <w:sz w:val="24"/>
          <w:szCs w:val="24"/>
        </w:rPr>
        <w:t>szemrevétele</w:t>
      </w:r>
      <w:r w:rsidR="006D6920" w:rsidRPr="001A1081">
        <w:rPr>
          <w:rFonts w:ascii="Times New Roman" w:hAnsi="Times New Roman"/>
          <w:sz w:val="24"/>
          <w:szCs w:val="24"/>
        </w:rPr>
        <w:t xml:space="preserve">zéssel </w:t>
      </w:r>
      <w:r w:rsidR="00D8431F">
        <w:rPr>
          <w:rFonts w:ascii="Times New Roman" w:hAnsi="Times New Roman"/>
          <w:sz w:val="24"/>
          <w:szCs w:val="24"/>
        </w:rPr>
        <w:t xml:space="preserve">el </w:t>
      </w:r>
      <w:r w:rsidR="006D6920" w:rsidRPr="001A1081">
        <w:rPr>
          <w:rFonts w:ascii="Times New Roman" w:hAnsi="Times New Roman"/>
          <w:sz w:val="24"/>
          <w:szCs w:val="24"/>
        </w:rPr>
        <w:t>nem különíthető</w:t>
      </w:r>
      <w:r w:rsidR="00D8431F">
        <w:rPr>
          <w:rFonts w:ascii="Times New Roman" w:hAnsi="Times New Roman"/>
          <w:sz w:val="24"/>
          <w:szCs w:val="24"/>
        </w:rPr>
        <w:t xml:space="preserve"> tüneteket mutat</w:t>
      </w:r>
      <w:r w:rsidR="00C11C9C">
        <w:rPr>
          <w:rFonts w:ascii="Times New Roman" w:hAnsi="Times New Roman"/>
          <w:sz w:val="24"/>
          <w:szCs w:val="24"/>
        </w:rPr>
        <w:t>,</w:t>
      </w:r>
      <w:r w:rsidR="004E5ED1">
        <w:rPr>
          <w:rFonts w:ascii="Times New Roman" w:hAnsi="Times New Roman"/>
          <w:sz w:val="24"/>
          <w:szCs w:val="24"/>
        </w:rPr>
        <w:t xml:space="preserve"> így ezeket együtt értékeltük</w:t>
      </w:r>
      <w:r w:rsidR="0032150C">
        <w:rPr>
          <w:rFonts w:ascii="Times New Roman" w:hAnsi="Times New Roman"/>
          <w:sz w:val="24"/>
          <w:szCs w:val="24"/>
        </w:rPr>
        <w:t>.</w:t>
      </w:r>
      <w:r w:rsidR="003A15C8">
        <w:rPr>
          <w:rFonts w:ascii="Times New Roman" w:hAnsi="Times New Roman"/>
          <w:sz w:val="24"/>
          <w:szCs w:val="24"/>
        </w:rPr>
        <w:t xml:space="preserve"> </w:t>
      </w:r>
    </w:p>
    <w:p w:rsidR="00813BB6" w:rsidRPr="00852544" w:rsidRDefault="0049390F" w:rsidP="00AE7539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52544">
        <w:rPr>
          <w:rFonts w:ascii="Times New Roman" w:hAnsi="Times New Roman"/>
          <w:sz w:val="24"/>
          <w:szCs w:val="24"/>
        </w:rPr>
        <w:t>A</w:t>
      </w:r>
      <w:r w:rsidR="00D8431F">
        <w:rPr>
          <w:rFonts w:ascii="Times New Roman" w:hAnsi="Times New Roman"/>
          <w:sz w:val="24"/>
          <w:szCs w:val="24"/>
        </w:rPr>
        <w:t xml:space="preserve"> vizsgált</w:t>
      </w:r>
      <w:r w:rsidRPr="00852544">
        <w:rPr>
          <w:rFonts w:ascii="Times New Roman" w:hAnsi="Times New Roman"/>
          <w:sz w:val="24"/>
          <w:szCs w:val="24"/>
        </w:rPr>
        <w:t xml:space="preserve"> ültet</w:t>
      </w:r>
      <w:r w:rsidR="003A6415">
        <w:rPr>
          <w:rFonts w:ascii="Times New Roman" w:hAnsi="Times New Roman"/>
          <w:sz w:val="24"/>
          <w:szCs w:val="24"/>
        </w:rPr>
        <w:t>vény 16 éves</w:t>
      </w:r>
      <w:r>
        <w:rPr>
          <w:rFonts w:ascii="Times New Roman" w:hAnsi="Times New Roman"/>
          <w:sz w:val="24"/>
          <w:szCs w:val="24"/>
        </w:rPr>
        <w:t>, középmagas kordon művelésű</w:t>
      </w:r>
      <w:r w:rsidRPr="00852544">
        <w:rPr>
          <w:rFonts w:ascii="Times New Roman" w:hAnsi="Times New Roman"/>
          <w:sz w:val="24"/>
          <w:szCs w:val="24"/>
        </w:rPr>
        <w:t xml:space="preserve">, </w:t>
      </w:r>
      <w:r w:rsidR="004F5CA4">
        <w:rPr>
          <w:rFonts w:ascii="Times New Roman" w:hAnsi="Times New Roman"/>
          <w:sz w:val="24"/>
          <w:szCs w:val="24"/>
        </w:rPr>
        <w:t xml:space="preserve">2,2 m x </w:t>
      </w:r>
      <w:r w:rsidR="004F5CA4" w:rsidRPr="004E5ED1">
        <w:rPr>
          <w:rFonts w:ascii="Times New Roman" w:hAnsi="Times New Roman"/>
          <w:sz w:val="24"/>
          <w:szCs w:val="24"/>
        </w:rPr>
        <w:t>0,8 m térállású</w:t>
      </w:r>
      <w:r w:rsidRPr="004E5ED1">
        <w:rPr>
          <w:rFonts w:ascii="Times New Roman" w:hAnsi="Times New Roman"/>
          <w:sz w:val="24"/>
          <w:szCs w:val="24"/>
        </w:rPr>
        <w:t xml:space="preserve">. Vizsgálatainkat Cirfandli, </w:t>
      </w:r>
      <w:proofErr w:type="spellStart"/>
      <w:r w:rsidRPr="004E5ED1">
        <w:rPr>
          <w:rFonts w:ascii="Times New Roman" w:hAnsi="Times New Roman"/>
          <w:sz w:val="24"/>
          <w:szCs w:val="24"/>
        </w:rPr>
        <w:t>Merlot</w:t>
      </w:r>
      <w:proofErr w:type="spellEnd"/>
      <w:r w:rsidRPr="004E5ED1">
        <w:rPr>
          <w:rFonts w:ascii="Times New Roman" w:hAnsi="Times New Roman"/>
          <w:sz w:val="24"/>
          <w:szCs w:val="24"/>
        </w:rPr>
        <w:t xml:space="preserve">, Cabernet </w:t>
      </w:r>
      <w:proofErr w:type="spellStart"/>
      <w:r w:rsidRPr="004E5ED1">
        <w:rPr>
          <w:rFonts w:ascii="Times New Roman" w:hAnsi="Times New Roman"/>
          <w:sz w:val="24"/>
          <w:szCs w:val="24"/>
        </w:rPr>
        <w:t>sauvign</w:t>
      </w:r>
      <w:r w:rsidR="00C8061B" w:rsidRPr="004E5ED1">
        <w:rPr>
          <w:rFonts w:ascii="Times New Roman" w:hAnsi="Times New Roman"/>
          <w:sz w:val="24"/>
          <w:szCs w:val="24"/>
        </w:rPr>
        <w:t>on</w:t>
      </w:r>
      <w:proofErr w:type="spellEnd"/>
      <w:r w:rsidR="00C8061B" w:rsidRPr="004E5ED1">
        <w:rPr>
          <w:rFonts w:ascii="Times New Roman" w:hAnsi="Times New Roman"/>
          <w:sz w:val="24"/>
          <w:szCs w:val="24"/>
        </w:rPr>
        <w:t xml:space="preserve"> fajtán végeztük</w:t>
      </w:r>
      <w:r w:rsidR="00F332EA">
        <w:rPr>
          <w:rFonts w:ascii="Times New Roman" w:hAnsi="Times New Roman"/>
          <w:sz w:val="24"/>
          <w:szCs w:val="24"/>
        </w:rPr>
        <w:t>.</w:t>
      </w:r>
      <w:r w:rsidR="008B211E">
        <w:rPr>
          <w:rFonts w:ascii="Times New Roman" w:hAnsi="Times New Roman"/>
          <w:sz w:val="24"/>
          <w:szCs w:val="24"/>
        </w:rPr>
        <w:t xml:space="preserve"> </w:t>
      </w:r>
      <w:r w:rsidR="00813BB6">
        <w:rPr>
          <w:rFonts w:ascii="Times New Roman" w:hAnsi="Times New Roman"/>
          <w:sz w:val="24"/>
          <w:szCs w:val="24"/>
        </w:rPr>
        <w:t>2013 augusztus</w:t>
      </w:r>
      <w:r w:rsidR="006B2CAA">
        <w:rPr>
          <w:rFonts w:ascii="Times New Roman" w:hAnsi="Times New Roman"/>
          <w:sz w:val="24"/>
          <w:szCs w:val="24"/>
        </w:rPr>
        <w:t>ában került sor az első felmér</w:t>
      </w:r>
      <w:r w:rsidR="0032150C">
        <w:rPr>
          <w:rFonts w:ascii="Times New Roman" w:hAnsi="Times New Roman"/>
          <w:sz w:val="24"/>
          <w:szCs w:val="24"/>
        </w:rPr>
        <w:t xml:space="preserve">ésre Cabernet </w:t>
      </w:r>
      <w:proofErr w:type="spellStart"/>
      <w:r w:rsidR="0032150C">
        <w:rPr>
          <w:rFonts w:ascii="Times New Roman" w:hAnsi="Times New Roman"/>
          <w:sz w:val="24"/>
          <w:szCs w:val="24"/>
        </w:rPr>
        <w:t>sauvignon</w:t>
      </w:r>
      <w:proofErr w:type="spellEnd"/>
      <w:r w:rsidR="0032150C">
        <w:rPr>
          <w:rFonts w:ascii="Times New Roman" w:hAnsi="Times New Roman"/>
          <w:sz w:val="24"/>
          <w:szCs w:val="24"/>
        </w:rPr>
        <w:t xml:space="preserve"> fajtán.</w:t>
      </w:r>
    </w:p>
    <w:p w:rsidR="008F1EF4" w:rsidRDefault="006B2CAA" w:rsidP="00AE75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Mindhárom fajtán </w:t>
      </w:r>
      <w:r w:rsidR="00E252EF">
        <w:rPr>
          <w:rFonts w:ascii="Times New Roman" w:hAnsi="Times New Roman"/>
          <w:sz w:val="24"/>
          <w:szCs w:val="24"/>
        </w:rPr>
        <w:t xml:space="preserve">2014-ben </w:t>
      </w:r>
      <w:r w:rsidR="0049390F">
        <w:rPr>
          <w:rFonts w:ascii="Times New Roman" w:hAnsi="Times New Roman"/>
          <w:sz w:val="24"/>
          <w:szCs w:val="24"/>
        </w:rPr>
        <w:t>a betegség</w:t>
      </w:r>
      <w:r w:rsidR="0049390F" w:rsidRPr="00852544">
        <w:rPr>
          <w:rFonts w:ascii="Times New Roman" w:hAnsi="Times New Roman"/>
          <w:sz w:val="24"/>
          <w:szCs w:val="24"/>
        </w:rPr>
        <w:t xml:space="preserve"> tüneteket mutató növényeket</w:t>
      </w:r>
      <w:r>
        <w:rPr>
          <w:rFonts w:ascii="Times New Roman" w:hAnsi="Times New Roman"/>
          <w:sz w:val="24"/>
          <w:szCs w:val="24"/>
        </w:rPr>
        <w:t xml:space="preserve"> </w:t>
      </w:r>
      <w:r w:rsidR="00B566D2">
        <w:rPr>
          <w:rFonts w:ascii="Times New Roman" w:hAnsi="Times New Roman"/>
          <w:sz w:val="24"/>
          <w:szCs w:val="24"/>
        </w:rPr>
        <w:t>augusztus</w:t>
      </w:r>
      <w:r w:rsidR="00D8431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és</w:t>
      </w:r>
      <w:r w:rsidR="00B566D2">
        <w:rPr>
          <w:rFonts w:ascii="Times New Roman" w:hAnsi="Times New Roman"/>
          <w:sz w:val="24"/>
          <w:szCs w:val="24"/>
        </w:rPr>
        <w:t xml:space="preserve"> szeptember végén</w:t>
      </w:r>
      <w:r w:rsidR="003A15C8">
        <w:rPr>
          <w:rFonts w:ascii="Times New Roman" w:hAnsi="Times New Roman"/>
          <w:sz w:val="24"/>
          <w:szCs w:val="24"/>
        </w:rPr>
        <w:t xml:space="preserve"> értékeltük</w:t>
      </w:r>
      <w:r w:rsidR="0049390F" w:rsidRPr="00852544">
        <w:rPr>
          <w:rFonts w:ascii="Times New Roman" w:hAnsi="Times New Roman"/>
          <w:sz w:val="24"/>
          <w:szCs w:val="24"/>
        </w:rPr>
        <w:t xml:space="preserve">. </w:t>
      </w:r>
      <w:r w:rsidR="0020748D">
        <w:rPr>
          <w:rFonts w:ascii="Times New Roman" w:hAnsi="Times New Roman"/>
          <w:sz w:val="24"/>
          <w:szCs w:val="24"/>
        </w:rPr>
        <w:t>2015-ben máj</w:t>
      </w:r>
      <w:r w:rsidR="00E252EF">
        <w:rPr>
          <w:rFonts w:ascii="Times New Roman" w:hAnsi="Times New Roman"/>
          <w:sz w:val="24"/>
          <w:szCs w:val="24"/>
        </w:rPr>
        <w:t xml:space="preserve">ustól </w:t>
      </w:r>
      <w:r w:rsidR="00D8431F">
        <w:rPr>
          <w:rFonts w:ascii="Times New Roman" w:hAnsi="Times New Roman"/>
          <w:sz w:val="24"/>
          <w:szCs w:val="24"/>
        </w:rPr>
        <w:t xml:space="preserve">szeptemberig, </w:t>
      </w:r>
      <w:r w:rsidR="0019465E">
        <w:rPr>
          <w:rFonts w:ascii="Times New Roman" w:hAnsi="Times New Roman"/>
          <w:sz w:val="24"/>
          <w:szCs w:val="24"/>
        </w:rPr>
        <w:t>minden</w:t>
      </w:r>
      <w:r w:rsidR="00E252EF">
        <w:rPr>
          <w:rFonts w:ascii="Times New Roman" w:hAnsi="Times New Roman"/>
          <w:sz w:val="24"/>
          <w:szCs w:val="24"/>
        </w:rPr>
        <w:t xml:space="preserve"> hónap végén felmértük a levéltünetek </w:t>
      </w:r>
      <w:r w:rsidR="005A7BC7">
        <w:rPr>
          <w:rFonts w:ascii="Times New Roman" w:hAnsi="Times New Roman"/>
          <w:sz w:val="24"/>
          <w:szCs w:val="24"/>
        </w:rPr>
        <w:t xml:space="preserve">alakulását </w:t>
      </w:r>
      <w:r w:rsidR="00206E1E">
        <w:rPr>
          <w:rFonts w:ascii="Times New Roman" w:hAnsi="Times New Roman"/>
          <w:sz w:val="24"/>
          <w:szCs w:val="24"/>
        </w:rPr>
        <w:t>és egy 1-től 6-</w:t>
      </w:r>
      <w:r w:rsidR="008F1EF4">
        <w:rPr>
          <w:rFonts w:ascii="Times New Roman" w:hAnsi="Times New Roman"/>
          <w:sz w:val="24"/>
          <w:szCs w:val="24"/>
        </w:rPr>
        <w:t xml:space="preserve">ig </w:t>
      </w:r>
      <w:r w:rsidR="005A7BC7">
        <w:rPr>
          <w:rFonts w:ascii="Times New Roman" w:hAnsi="Times New Roman"/>
          <w:sz w:val="24"/>
          <w:szCs w:val="24"/>
        </w:rPr>
        <w:t xml:space="preserve">terjedő </w:t>
      </w:r>
      <w:r w:rsidR="008F1EF4">
        <w:rPr>
          <w:rFonts w:ascii="Times New Roman" w:hAnsi="Times New Roman"/>
          <w:sz w:val="24"/>
          <w:szCs w:val="24"/>
        </w:rPr>
        <w:t xml:space="preserve">skála szerint soroltuk be </w:t>
      </w:r>
      <w:r w:rsidR="0019465E">
        <w:rPr>
          <w:rFonts w:ascii="Times New Roman" w:hAnsi="Times New Roman"/>
          <w:sz w:val="24"/>
          <w:szCs w:val="24"/>
        </w:rPr>
        <w:t>azokat</w:t>
      </w:r>
      <w:r w:rsidR="005A7BC7">
        <w:rPr>
          <w:rFonts w:ascii="Times New Roman" w:hAnsi="Times New Roman"/>
          <w:sz w:val="24"/>
          <w:szCs w:val="24"/>
        </w:rPr>
        <w:t xml:space="preserve"> (</w:t>
      </w:r>
      <w:r w:rsidR="008F1EF4" w:rsidRPr="008F1EF4">
        <w:rPr>
          <w:rFonts w:ascii="Times New Roman" w:hAnsi="Times New Roman"/>
          <w:b/>
          <w:sz w:val="24"/>
          <w:szCs w:val="24"/>
        </w:rPr>
        <w:t>1</w:t>
      </w:r>
      <w:r w:rsidR="00314369">
        <w:rPr>
          <w:rFonts w:ascii="Times New Roman" w:hAnsi="Times New Roman"/>
          <w:b/>
          <w:sz w:val="24"/>
          <w:szCs w:val="24"/>
        </w:rPr>
        <w:t>.</w:t>
      </w:r>
      <w:r w:rsidR="008F1EF4" w:rsidRPr="008F1EF4">
        <w:rPr>
          <w:rFonts w:ascii="Times New Roman" w:hAnsi="Times New Roman"/>
          <w:b/>
          <w:sz w:val="24"/>
          <w:szCs w:val="24"/>
        </w:rPr>
        <w:t xml:space="preserve"> táblázat</w:t>
      </w:r>
      <w:r w:rsidR="005A7BC7">
        <w:rPr>
          <w:rFonts w:ascii="Times New Roman" w:hAnsi="Times New Roman"/>
          <w:b/>
          <w:sz w:val="24"/>
          <w:szCs w:val="24"/>
        </w:rPr>
        <w:t>)</w:t>
      </w:r>
      <w:r w:rsidR="00E252EF">
        <w:rPr>
          <w:rFonts w:ascii="Times New Roman" w:hAnsi="Times New Roman"/>
          <w:sz w:val="24"/>
          <w:szCs w:val="24"/>
        </w:rPr>
        <w:t>.</w:t>
      </w:r>
      <w:r w:rsidR="00723F81">
        <w:rPr>
          <w:rFonts w:ascii="Times New Roman" w:hAnsi="Times New Roman"/>
          <w:sz w:val="24"/>
          <w:szCs w:val="24"/>
        </w:rPr>
        <w:t xml:space="preserve"> Késői tünetként jelöljük a júliustól szeptemberig megjelenő tüneteket.</w:t>
      </w:r>
    </w:p>
    <w:p w:rsidR="00D8431F" w:rsidRDefault="00D8431F" w:rsidP="00AE75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14369" w:rsidRPr="00314369" w:rsidRDefault="00314369" w:rsidP="00AE7539">
      <w:pPr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E7539">
        <w:rPr>
          <w:rFonts w:ascii="Times New Roman" w:hAnsi="Times New Roman"/>
          <w:sz w:val="24"/>
          <w:szCs w:val="24"/>
        </w:rPr>
        <w:t>tábl</w:t>
      </w:r>
      <w:r w:rsidR="005D2954" w:rsidRPr="00AE7539">
        <w:rPr>
          <w:rFonts w:ascii="Times New Roman" w:hAnsi="Times New Roman"/>
          <w:sz w:val="24"/>
          <w:szCs w:val="24"/>
        </w:rPr>
        <w:t>á</w:t>
      </w:r>
      <w:r w:rsidR="00AE7539">
        <w:rPr>
          <w:rFonts w:ascii="Times New Roman" w:hAnsi="Times New Roman"/>
          <w:sz w:val="24"/>
          <w:szCs w:val="24"/>
        </w:rPr>
        <w:t>zat.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Esca</w:t>
      </w:r>
      <w:proofErr w:type="spellEnd"/>
      <w:r>
        <w:rPr>
          <w:rFonts w:ascii="Times New Roman" w:hAnsi="Times New Roman"/>
          <w:sz w:val="24"/>
          <w:szCs w:val="24"/>
        </w:rPr>
        <w:t xml:space="preserve">/BDA tünetek </w:t>
      </w:r>
      <w:proofErr w:type="spellStart"/>
      <w:r w:rsidR="006B2CAA">
        <w:rPr>
          <w:rFonts w:ascii="Times New Roman" w:hAnsi="Times New Roman"/>
          <w:sz w:val="24"/>
          <w:szCs w:val="24"/>
        </w:rPr>
        <w:t>bonitálásánál</w:t>
      </w:r>
      <w:proofErr w:type="spellEnd"/>
      <w:r w:rsidR="006B2CAA">
        <w:rPr>
          <w:rFonts w:ascii="Times New Roman" w:hAnsi="Times New Roman"/>
          <w:sz w:val="24"/>
          <w:szCs w:val="24"/>
        </w:rPr>
        <w:t xml:space="preserve"> alkalmazott skála értékek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3174"/>
        <w:gridCol w:w="2591"/>
      </w:tblGrid>
      <w:tr w:rsidR="00A3270C" w:rsidRPr="00011ACB" w:rsidTr="00C72FAA">
        <w:trPr>
          <w:jc w:val="center"/>
        </w:trPr>
        <w:tc>
          <w:tcPr>
            <w:tcW w:w="1824" w:type="dxa"/>
            <w:shd w:val="clear" w:color="auto" w:fill="auto"/>
          </w:tcPr>
          <w:p w:rsidR="00A3270C" w:rsidRPr="00011ACB" w:rsidRDefault="00A3270C" w:rsidP="00AE7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ACB">
              <w:rPr>
                <w:rFonts w:ascii="Times New Roman" w:hAnsi="Times New Roman"/>
                <w:b/>
                <w:sz w:val="24"/>
                <w:szCs w:val="24"/>
              </w:rPr>
              <w:t xml:space="preserve">Skála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érték</w:t>
            </w:r>
          </w:p>
        </w:tc>
        <w:tc>
          <w:tcPr>
            <w:tcW w:w="3174" w:type="dxa"/>
          </w:tcPr>
          <w:p w:rsidR="00A3270C" w:rsidRPr="00011ACB" w:rsidRDefault="00A3270C" w:rsidP="00AE7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Tünet megjelenés mértéke</w:t>
            </w:r>
          </w:p>
        </w:tc>
        <w:tc>
          <w:tcPr>
            <w:tcW w:w="2591" w:type="dxa"/>
            <w:shd w:val="clear" w:color="auto" w:fill="auto"/>
          </w:tcPr>
          <w:p w:rsidR="00A3270C" w:rsidRPr="00011ACB" w:rsidRDefault="00C72FAA" w:rsidP="00AE7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Esca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tünet</w:t>
            </w:r>
            <w:r w:rsidR="00A3270C" w:rsidRPr="00011A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A02D5" w:rsidRPr="00013BF0">
              <w:rPr>
                <w:rFonts w:ascii="Times New Roman" w:hAnsi="Times New Roman"/>
                <w:b/>
                <w:sz w:val="24"/>
                <w:szCs w:val="24"/>
              </w:rPr>
              <w:t>jellege</w:t>
            </w:r>
          </w:p>
        </w:tc>
      </w:tr>
      <w:tr w:rsidR="00A3270C" w:rsidRPr="00011ACB" w:rsidTr="00C72FAA">
        <w:trPr>
          <w:jc w:val="center"/>
        </w:trPr>
        <w:tc>
          <w:tcPr>
            <w:tcW w:w="1824" w:type="dxa"/>
            <w:shd w:val="clear" w:color="auto" w:fill="auto"/>
          </w:tcPr>
          <w:p w:rsidR="00A3270C" w:rsidRPr="00011ACB" w:rsidRDefault="00A3270C" w:rsidP="00AE7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A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4" w:type="dxa"/>
          </w:tcPr>
          <w:p w:rsidR="00A3270C" w:rsidRDefault="00A3270C" w:rsidP="00AE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termőalapon</w:t>
            </w:r>
          </w:p>
        </w:tc>
        <w:tc>
          <w:tcPr>
            <w:tcW w:w="2591" w:type="dxa"/>
            <w:shd w:val="clear" w:color="auto" w:fill="auto"/>
          </w:tcPr>
          <w:p w:rsidR="00A3270C" w:rsidRPr="00011ACB" w:rsidRDefault="00A3270C" w:rsidP="00AE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krónikus </w:t>
            </w:r>
          </w:p>
        </w:tc>
      </w:tr>
      <w:tr w:rsidR="00A3270C" w:rsidRPr="00011ACB" w:rsidTr="00C72FAA">
        <w:trPr>
          <w:jc w:val="center"/>
        </w:trPr>
        <w:tc>
          <w:tcPr>
            <w:tcW w:w="1824" w:type="dxa"/>
            <w:shd w:val="clear" w:color="auto" w:fill="auto"/>
          </w:tcPr>
          <w:p w:rsidR="00A3270C" w:rsidRPr="00011ACB" w:rsidRDefault="00A3270C" w:rsidP="00AE7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A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4" w:type="dxa"/>
          </w:tcPr>
          <w:p w:rsidR="00A3270C" w:rsidRDefault="00A3270C" w:rsidP="00AE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termőalapon</w:t>
            </w:r>
          </w:p>
        </w:tc>
        <w:tc>
          <w:tcPr>
            <w:tcW w:w="2591" w:type="dxa"/>
            <w:shd w:val="clear" w:color="auto" w:fill="auto"/>
          </w:tcPr>
          <w:p w:rsidR="00A3270C" w:rsidRPr="00011ACB" w:rsidRDefault="00A3270C" w:rsidP="00AE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akut </w:t>
            </w:r>
          </w:p>
        </w:tc>
      </w:tr>
      <w:tr w:rsidR="00A3270C" w:rsidRPr="00011ACB" w:rsidTr="00C72FAA">
        <w:trPr>
          <w:jc w:val="center"/>
        </w:trPr>
        <w:tc>
          <w:tcPr>
            <w:tcW w:w="1824" w:type="dxa"/>
            <w:shd w:val="clear" w:color="auto" w:fill="auto"/>
          </w:tcPr>
          <w:p w:rsidR="00A3270C" w:rsidRPr="00011ACB" w:rsidRDefault="00A3270C" w:rsidP="00AE7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A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74" w:type="dxa"/>
          </w:tcPr>
          <w:p w:rsidR="00A3270C" w:rsidRDefault="00A3270C" w:rsidP="00AE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Fél tőkén</w:t>
            </w:r>
          </w:p>
        </w:tc>
        <w:tc>
          <w:tcPr>
            <w:tcW w:w="2591" w:type="dxa"/>
            <w:shd w:val="clear" w:color="auto" w:fill="auto"/>
          </w:tcPr>
          <w:p w:rsidR="00A3270C" w:rsidRPr="00011ACB" w:rsidRDefault="00A3270C" w:rsidP="00AE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krónikus </w:t>
            </w:r>
          </w:p>
        </w:tc>
      </w:tr>
      <w:tr w:rsidR="00A3270C" w:rsidRPr="00011ACB" w:rsidTr="00C72FAA">
        <w:trPr>
          <w:jc w:val="center"/>
        </w:trPr>
        <w:tc>
          <w:tcPr>
            <w:tcW w:w="1824" w:type="dxa"/>
            <w:shd w:val="clear" w:color="auto" w:fill="auto"/>
          </w:tcPr>
          <w:p w:rsidR="00A3270C" w:rsidRPr="00011ACB" w:rsidRDefault="00A3270C" w:rsidP="00AE7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A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74" w:type="dxa"/>
          </w:tcPr>
          <w:p w:rsidR="00A3270C" w:rsidRDefault="00A3270C" w:rsidP="00AE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Fél tőkén</w:t>
            </w:r>
          </w:p>
        </w:tc>
        <w:tc>
          <w:tcPr>
            <w:tcW w:w="2591" w:type="dxa"/>
            <w:shd w:val="clear" w:color="auto" w:fill="auto"/>
          </w:tcPr>
          <w:p w:rsidR="00A3270C" w:rsidRPr="00011ACB" w:rsidRDefault="00A3270C" w:rsidP="00AE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akut </w:t>
            </w:r>
          </w:p>
        </w:tc>
      </w:tr>
      <w:tr w:rsidR="00A3270C" w:rsidRPr="00011ACB" w:rsidTr="00C72FAA">
        <w:trPr>
          <w:jc w:val="center"/>
        </w:trPr>
        <w:tc>
          <w:tcPr>
            <w:tcW w:w="1824" w:type="dxa"/>
            <w:shd w:val="clear" w:color="auto" w:fill="auto"/>
          </w:tcPr>
          <w:p w:rsidR="00A3270C" w:rsidRPr="00011ACB" w:rsidRDefault="00A3270C" w:rsidP="00AE7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A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74" w:type="dxa"/>
          </w:tcPr>
          <w:p w:rsidR="00A3270C" w:rsidRDefault="00A3270C" w:rsidP="00AE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Teljes tőkén</w:t>
            </w:r>
          </w:p>
        </w:tc>
        <w:tc>
          <w:tcPr>
            <w:tcW w:w="2591" w:type="dxa"/>
            <w:shd w:val="clear" w:color="auto" w:fill="auto"/>
          </w:tcPr>
          <w:p w:rsidR="00A3270C" w:rsidRPr="00011ACB" w:rsidRDefault="00A3270C" w:rsidP="00AE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krónikus </w:t>
            </w:r>
          </w:p>
        </w:tc>
      </w:tr>
      <w:tr w:rsidR="00A3270C" w:rsidRPr="00011ACB" w:rsidTr="00C72FAA">
        <w:trPr>
          <w:jc w:val="center"/>
        </w:trPr>
        <w:tc>
          <w:tcPr>
            <w:tcW w:w="1824" w:type="dxa"/>
            <w:shd w:val="clear" w:color="auto" w:fill="auto"/>
          </w:tcPr>
          <w:p w:rsidR="00A3270C" w:rsidRPr="00011ACB" w:rsidRDefault="00A3270C" w:rsidP="00AE7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A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74" w:type="dxa"/>
          </w:tcPr>
          <w:p w:rsidR="00A3270C" w:rsidRDefault="00A3270C" w:rsidP="00AE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Teljes tőkén</w:t>
            </w:r>
          </w:p>
        </w:tc>
        <w:tc>
          <w:tcPr>
            <w:tcW w:w="2591" w:type="dxa"/>
            <w:shd w:val="clear" w:color="auto" w:fill="auto"/>
          </w:tcPr>
          <w:p w:rsidR="00A3270C" w:rsidRPr="00011ACB" w:rsidRDefault="00A3270C" w:rsidP="00AE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akut </w:t>
            </w:r>
          </w:p>
        </w:tc>
      </w:tr>
    </w:tbl>
    <w:p w:rsidR="001070C5" w:rsidRDefault="001070C5" w:rsidP="00AE7539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49390F" w:rsidRDefault="0049390F" w:rsidP="00AE7539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52544">
        <w:rPr>
          <w:rFonts w:ascii="Times New Roman" w:hAnsi="Times New Roman"/>
          <w:sz w:val="24"/>
          <w:szCs w:val="24"/>
        </w:rPr>
        <w:t xml:space="preserve">A felvételezést </w:t>
      </w:r>
      <w:r w:rsidR="0020748D">
        <w:rPr>
          <w:rFonts w:ascii="Times New Roman" w:hAnsi="Times New Roman"/>
          <w:sz w:val="24"/>
          <w:szCs w:val="24"/>
        </w:rPr>
        <w:t>fajtánként</w:t>
      </w:r>
      <w:r w:rsidR="00460B69">
        <w:rPr>
          <w:rFonts w:ascii="Times New Roman" w:hAnsi="Times New Roman"/>
          <w:sz w:val="24"/>
          <w:szCs w:val="24"/>
        </w:rPr>
        <w:t xml:space="preserve"> eltérő tőkeszámon</w:t>
      </w:r>
      <w:r w:rsidR="00564D0F">
        <w:rPr>
          <w:rFonts w:ascii="Times New Roman" w:hAnsi="Times New Roman"/>
          <w:sz w:val="24"/>
          <w:szCs w:val="24"/>
        </w:rPr>
        <w:t xml:space="preserve"> végeztük</w:t>
      </w:r>
      <w:r w:rsidR="008B1199">
        <w:rPr>
          <w:rFonts w:ascii="Times New Roman" w:hAnsi="Times New Roman"/>
          <w:sz w:val="24"/>
          <w:szCs w:val="24"/>
        </w:rPr>
        <w:t xml:space="preserve">, a Cabernet </w:t>
      </w:r>
      <w:proofErr w:type="spellStart"/>
      <w:r w:rsidR="008B1199">
        <w:rPr>
          <w:rFonts w:ascii="Times New Roman" w:hAnsi="Times New Roman"/>
          <w:sz w:val="24"/>
          <w:szCs w:val="24"/>
        </w:rPr>
        <w:t>sauvignon</w:t>
      </w:r>
      <w:proofErr w:type="spellEnd"/>
      <w:r w:rsidR="008B1199">
        <w:rPr>
          <w:rFonts w:ascii="Times New Roman" w:hAnsi="Times New Roman"/>
          <w:sz w:val="24"/>
          <w:szCs w:val="24"/>
        </w:rPr>
        <w:t xml:space="preserve"> fajtánál 900</w:t>
      </w:r>
      <w:r w:rsidR="00564D0F">
        <w:rPr>
          <w:rFonts w:ascii="Times New Roman" w:hAnsi="Times New Roman"/>
          <w:sz w:val="24"/>
          <w:szCs w:val="24"/>
        </w:rPr>
        <w:t>, a Cirfandlinál</w:t>
      </w:r>
      <w:r w:rsidR="008B1199">
        <w:rPr>
          <w:rFonts w:ascii="Times New Roman" w:hAnsi="Times New Roman"/>
          <w:sz w:val="24"/>
          <w:szCs w:val="24"/>
        </w:rPr>
        <w:t xml:space="preserve"> 825, </w:t>
      </w:r>
      <w:proofErr w:type="spellStart"/>
      <w:r w:rsidR="008B1199">
        <w:rPr>
          <w:rFonts w:ascii="Times New Roman" w:hAnsi="Times New Roman"/>
          <w:sz w:val="24"/>
          <w:szCs w:val="24"/>
        </w:rPr>
        <w:t>Merlotnál</w:t>
      </w:r>
      <w:proofErr w:type="spellEnd"/>
      <w:r w:rsidR="008B1199">
        <w:rPr>
          <w:rFonts w:ascii="Times New Roman" w:hAnsi="Times New Roman"/>
          <w:sz w:val="24"/>
          <w:szCs w:val="24"/>
        </w:rPr>
        <w:t xml:space="preserve"> 600</w:t>
      </w:r>
      <w:r w:rsidR="00564D0F">
        <w:rPr>
          <w:rFonts w:ascii="Times New Roman" w:hAnsi="Times New Roman"/>
          <w:sz w:val="24"/>
          <w:szCs w:val="24"/>
        </w:rPr>
        <w:t xml:space="preserve"> tőkét értékeltünk.</w:t>
      </w:r>
      <w:r w:rsidR="0020748D">
        <w:rPr>
          <w:rFonts w:ascii="Times New Roman" w:hAnsi="Times New Roman"/>
          <w:sz w:val="24"/>
          <w:szCs w:val="24"/>
        </w:rPr>
        <w:t xml:space="preserve"> </w:t>
      </w:r>
      <w:r w:rsidR="00564D0F">
        <w:rPr>
          <w:rFonts w:ascii="Times New Roman" w:hAnsi="Times New Roman"/>
          <w:sz w:val="24"/>
          <w:szCs w:val="24"/>
        </w:rPr>
        <w:t xml:space="preserve">Az eredmények </w:t>
      </w:r>
      <w:r w:rsidR="00106887">
        <w:rPr>
          <w:rFonts w:ascii="Times New Roman" w:hAnsi="Times New Roman"/>
          <w:sz w:val="24"/>
          <w:szCs w:val="24"/>
        </w:rPr>
        <w:t xml:space="preserve">kiértékeléséhez egytényezős </w:t>
      </w:r>
      <w:r w:rsidRPr="00852544">
        <w:rPr>
          <w:rFonts w:ascii="Times New Roman" w:hAnsi="Times New Roman"/>
          <w:sz w:val="24"/>
          <w:szCs w:val="24"/>
        </w:rPr>
        <w:t>varia</w:t>
      </w:r>
      <w:r>
        <w:rPr>
          <w:rFonts w:ascii="Times New Roman" w:hAnsi="Times New Roman"/>
          <w:sz w:val="24"/>
          <w:szCs w:val="24"/>
        </w:rPr>
        <w:t xml:space="preserve">nciaanalízist </w:t>
      </w:r>
      <w:r w:rsidRPr="00852544">
        <w:rPr>
          <w:rFonts w:ascii="Times New Roman" w:hAnsi="Times New Roman"/>
          <w:sz w:val="24"/>
          <w:szCs w:val="24"/>
        </w:rPr>
        <w:t>alkalmaztunk.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714F8" w:rsidRDefault="00B714F8" w:rsidP="00AE753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9390F" w:rsidRDefault="0049390F" w:rsidP="00AE753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E5368">
        <w:rPr>
          <w:rFonts w:ascii="Times New Roman" w:hAnsi="Times New Roman"/>
          <w:b/>
          <w:sz w:val="24"/>
          <w:szCs w:val="24"/>
        </w:rPr>
        <w:t>Eredmények</w:t>
      </w:r>
      <w:r w:rsidR="001847E4">
        <w:rPr>
          <w:rFonts w:ascii="Times New Roman" w:hAnsi="Times New Roman"/>
          <w:b/>
          <w:sz w:val="24"/>
          <w:szCs w:val="24"/>
        </w:rPr>
        <w:t xml:space="preserve"> </w:t>
      </w:r>
      <w:r w:rsidR="002F695C">
        <w:rPr>
          <w:rFonts w:ascii="Times New Roman" w:hAnsi="Times New Roman"/>
          <w:b/>
          <w:sz w:val="24"/>
          <w:szCs w:val="24"/>
        </w:rPr>
        <w:t xml:space="preserve">és </w:t>
      </w:r>
      <w:r w:rsidR="001847E4">
        <w:rPr>
          <w:rFonts w:ascii="Times New Roman" w:hAnsi="Times New Roman"/>
          <w:b/>
          <w:sz w:val="24"/>
          <w:szCs w:val="24"/>
        </w:rPr>
        <w:t>megvitatás</w:t>
      </w:r>
      <w:r w:rsidR="002F695C">
        <w:rPr>
          <w:rFonts w:ascii="Times New Roman" w:hAnsi="Times New Roman"/>
          <w:b/>
          <w:sz w:val="24"/>
          <w:szCs w:val="24"/>
        </w:rPr>
        <w:t>uk</w:t>
      </w:r>
    </w:p>
    <w:p w:rsidR="006A7375" w:rsidRPr="006A7375" w:rsidRDefault="006A7375" w:rsidP="00AE75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D7256" w:rsidRDefault="00FB77DA" w:rsidP="00AE7539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2013-as aszályos évet egy rendkívül csapadékos év követte, majd a 2015-ös év közepesen csapadékos volt.</w:t>
      </w:r>
      <w:r w:rsidR="0046300F">
        <w:rPr>
          <w:rFonts w:ascii="Times New Roman" w:hAnsi="Times New Roman"/>
          <w:sz w:val="24"/>
          <w:szCs w:val="24"/>
        </w:rPr>
        <w:t xml:space="preserve"> 2013-ban közel 230 mm csapadékot mértünk a májustól augusztusig terjedő időszakban, 2014-ben ez az érték 538</w:t>
      </w:r>
      <w:r w:rsidR="003152C3">
        <w:rPr>
          <w:rFonts w:ascii="Times New Roman" w:hAnsi="Times New Roman"/>
          <w:sz w:val="24"/>
          <w:szCs w:val="24"/>
        </w:rPr>
        <w:t xml:space="preserve"> mm</w:t>
      </w:r>
      <w:r w:rsidR="0046300F">
        <w:rPr>
          <w:rFonts w:ascii="Times New Roman" w:hAnsi="Times New Roman"/>
          <w:sz w:val="24"/>
          <w:szCs w:val="24"/>
        </w:rPr>
        <w:t>, míg 2015-ben 259</w:t>
      </w:r>
      <w:r w:rsidR="003152C3">
        <w:rPr>
          <w:rFonts w:ascii="Times New Roman" w:hAnsi="Times New Roman"/>
          <w:sz w:val="24"/>
          <w:szCs w:val="24"/>
        </w:rPr>
        <w:t xml:space="preserve"> mm volt. </w:t>
      </w:r>
      <w:r w:rsidR="004D595D" w:rsidRPr="00425C19">
        <w:rPr>
          <w:rFonts w:ascii="Times New Roman" w:hAnsi="Times New Roman"/>
          <w:sz w:val="24"/>
          <w:szCs w:val="24"/>
        </w:rPr>
        <w:t xml:space="preserve">Cabernet </w:t>
      </w:r>
      <w:proofErr w:type="spellStart"/>
      <w:r w:rsidR="004D595D" w:rsidRPr="00425C19">
        <w:rPr>
          <w:rFonts w:ascii="Times New Roman" w:hAnsi="Times New Roman"/>
          <w:sz w:val="24"/>
          <w:szCs w:val="24"/>
        </w:rPr>
        <w:t>sauvignon</w:t>
      </w:r>
      <w:proofErr w:type="spellEnd"/>
      <w:r w:rsidR="004D595D" w:rsidRPr="00425C19">
        <w:rPr>
          <w:rFonts w:ascii="Times New Roman" w:hAnsi="Times New Roman"/>
          <w:sz w:val="24"/>
          <w:szCs w:val="24"/>
        </w:rPr>
        <w:t xml:space="preserve"> fajtánál a vizsgált három évben a tünetes tőkék megjelenése szignifikáns eltérést mutat az egyes évek között (</w:t>
      </w:r>
      <w:proofErr w:type="gramStart"/>
      <w:r w:rsidR="004D595D" w:rsidRPr="00E41FA7">
        <w:rPr>
          <w:rFonts w:ascii="Times New Roman" w:hAnsi="Times New Roman"/>
          <w:sz w:val="24"/>
          <w:szCs w:val="24"/>
        </w:rPr>
        <w:t>p</w:t>
      </w:r>
      <w:r w:rsidR="004D595D">
        <w:rPr>
          <w:rFonts w:ascii="Times New Roman" w:hAnsi="Times New Roman"/>
          <w:sz w:val="24"/>
          <w:szCs w:val="24"/>
        </w:rPr>
        <w:t>&lt; 0</w:t>
      </w:r>
      <w:proofErr w:type="gramEnd"/>
      <w:r w:rsidR="004D595D">
        <w:rPr>
          <w:rFonts w:ascii="Times New Roman" w:hAnsi="Times New Roman"/>
          <w:sz w:val="24"/>
          <w:szCs w:val="24"/>
        </w:rPr>
        <w:t>,001</w:t>
      </w:r>
      <w:r w:rsidR="008B211E">
        <w:rPr>
          <w:rFonts w:ascii="Times New Roman" w:hAnsi="Times New Roman"/>
          <w:sz w:val="24"/>
          <w:szCs w:val="24"/>
        </w:rPr>
        <w:t xml:space="preserve">, </w:t>
      </w:r>
      <w:r w:rsidR="008B211E" w:rsidRPr="00AE7539">
        <w:rPr>
          <w:rFonts w:ascii="Times New Roman" w:hAnsi="Times New Roman"/>
          <w:sz w:val="24"/>
          <w:szCs w:val="24"/>
        </w:rPr>
        <w:t>1. ábra</w:t>
      </w:r>
      <w:r w:rsidR="00ED0089" w:rsidRPr="00AE7539">
        <w:rPr>
          <w:rFonts w:ascii="Times New Roman" w:hAnsi="Times New Roman"/>
          <w:sz w:val="24"/>
          <w:szCs w:val="24"/>
        </w:rPr>
        <w:t>).</w:t>
      </w:r>
    </w:p>
    <w:p w:rsidR="00A66AB0" w:rsidRDefault="00A66AB0" w:rsidP="00AE7539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B77DA" w:rsidRPr="00A66AB0" w:rsidRDefault="00A66AB0" w:rsidP="00AE7539">
      <w:pPr>
        <w:spacing w:after="0" w:line="36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5E3F5E81" wp14:editId="401950A8">
            <wp:extent cx="4643437" cy="2321719"/>
            <wp:effectExtent l="0" t="0" r="24130" b="21590"/>
            <wp:docPr id="3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B77DA" w:rsidRPr="00C149D4" w:rsidRDefault="00FB77DA" w:rsidP="00AE7539">
      <w:pPr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E7539">
        <w:rPr>
          <w:rFonts w:ascii="Times New Roman" w:hAnsi="Times New Roman"/>
          <w:color w:val="000000" w:themeColor="text1"/>
          <w:sz w:val="24"/>
          <w:szCs w:val="24"/>
        </w:rPr>
        <w:t>ábra</w:t>
      </w:r>
      <w:r w:rsidR="00AE7539">
        <w:rPr>
          <w:rFonts w:ascii="Times New Roman" w:hAnsi="Times New Roman"/>
          <w:sz w:val="24"/>
          <w:szCs w:val="24"/>
        </w:rPr>
        <w:t>.</w:t>
      </w:r>
      <w:r w:rsidR="004A54E9">
        <w:rPr>
          <w:rFonts w:ascii="Times New Roman" w:hAnsi="Times New Roman"/>
          <w:sz w:val="24"/>
          <w:szCs w:val="24"/>
        </w:rPr>
        <w:t xml:space="preserve"> </w:t>
      </w:r>
      <w:r w:rsidR="00881695">
        <w:rPr>
          <w:rFonts w:ascii="Times New Roman" w:hAnsi="Times New Roman"/>
          <w:color w:val="000000" w:themeColor="text1"/>
          <w:sz w:val="24"/>
          <w:szCs w:val="24"/>
        </w:rPr>
        <w:t>F</w:t>
      </w:r>
      <w:r w:rsidR="00881695">
        <w:rPr>
          <w:rFonts w:ascii="Times New Roman" w:hAnsi="Times New Roman"/>
          <w:sz w:val="24"/>
          <w:szCs w:val="24"/>
        </w:rPr>
        <w:t xml:space="preserve">aszöveti betegség </w:t>
      </w:r>
      <w:r w:rsidR="004A54E9">
        <w:rPr>
          <w:rFonts w:ascii="Times New Roman" w:hAnsi="Times New Roman"/>
          <w:sz w:val="24"/>
          <w:szCs w:val="24"/>
        </w:rPr>
        <w:t>tünete</w:t>
      </w:r>
      <w:r w:rsidR="00881695">
        <w:rPr>
          <w:rFonts w:ascii="Times New Roman" w:hAnsi="Times New Roman"/>
          <w:sz w:val="24"/>
          <w:szCs w:val="24"/>
        </w:rPr>
        <w:t>ket mutató</w:t>
      </w:r>
      <w:r w:rsidR="004A54E9">
        <w:rPr>
          <w:rFonts w:ascii="Times New Roman" w:hAnsi="Times New Roman"/>
          <w:sz w:val="24"/>
          <w:szCs w:val="24"/>
        </w:rPr>
        <w:t xml:space="preserve"> tőkék száma </w:t>
      </w:r>
      <w:r w:rsidR="0033771C">
        <w:rPr>
          <w:rFonts w:ascii="Times New Roman" w:hAnsi="Times New Roman"/>
          <w:sz w:val="24"/>
          <w:szCs w:val="24"/>
        </w:rPr>
        <w:t>2013</w:t>
      </w:r>
      <w:r w:rsidR="00881695">
        <w:rPr>
          <w:rFonts w:ascii="Times New Roman" w:hAnsi="Times New Roman"/>
          <w:sz w:val="24"/>
          <w:szCs w:val="24"/>
        </w:rPr>
        <w:t>-</w:t>
      </w:r>
      <w:r w:rsidR="00881695" w:rsidRPr="00507002">
        <w:rPr>
          <w:rFonts w:ascii="Times New Roman" w:hAnsi="Times New Roman"/>
          <w:sz w:val="24"/>
          <w:szCs w:val="24"/>
        </w:rPr>
        <w:t xml:space="preserve"> </w:t>
      </w:r>
      <w:r w:rsidRPr="00507002">
        <w:rPr>
          <w:rFonts w:ascii="Times New Roman" w:hAnsi="Times New Roman"/>
          <w:sz w:val="24"/>
          <w:szCs w:val="24"/>
        </w:rPr>
        <w:t>2015-</w:t>
      </w:r>
      <w:r w:rsidR="00881695">
        <w:rPr>
          <w:rFonts w:ascii="Times New Roman" w:hAnsi="Times New Roman"/>
          <w:sz w:val="24"/>
          <w:szCs w:val="24"/>
        </w:rPr>
        <w:t>ben</w:t>
      </w:r>
    </w:p>
    <w:p w:rsidR="009B2277" w:rsidRPr="00507002" w:rsidRDefault="00ED0089" w:rsidP="00AE7539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 </w:t>
      </w:r>
      <w:r w:rsidRPr="00425C19">
        <w:rPr>
          <w:rFonts w:ascii="Times New Roman" w:hAnsi="Times New Roman"/>
          <w:sz w:val="24"/>
          <w:szCs w:val="24"/>
        </w:rPr>
        <w:t>2013-as évben</w:t>
      </w:r>
      <w:r>
        <w:rPr>
          <w:rFonts w:ascii="Times New Roman" w:hAnsi="Times New Roman"/>
          <w:sz w:val="24"/>
          <w:szCs w:val="24"/>
        </w:rPr>
        <w:t xml:space="preserve"> a vizsgált </w:t>
      </w:r>
      <w:r w:rsidR="00672E76" w:rsidRPr="00013BF0">
        <w:rPr>
          <w:rFonts w:ascii="Times New Roman" w:hAnsi="Times New Roman"/>
          <w:sz w:val="24"/>
          <w:szCs w:val="24"/>
        </w:rPr>
        <w:t xml:space="preserve">Cabernet </w:t>
      </w:r>
      <w:proofErr w:type="spellStart"/>
      <w:r w:rsidR="00672E76" w:rsidRPr="00013BF0">
        <w:rPr>
          <w:rFonts w:ascii="Times New Roman" w:hAnsi="Times New Roman"/>
          <w:sz w:val="24"/>
          <w:szCs w:val="24"/>
        </w:rPr>
        <w:t>sauvignon</w:t>
      </w:r>
      <w:proofErr w:type="spellEnd"/>
      <w:r w:rsidR="00672E76" w:rsidRPr="00013B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tőkék 1,7</w:t>
      </w:r>
      <w:r w:rsidRPr="00425C19">
        <w:rPr>
          <w:rFonts w:ascii="Times New Roman" w:hAnsi="Times New Roman"/>
          <w:sz w:val="24"/>
          <w:szCs w:val="24"/>
        </w:rPr>
        <w:t xml:space="preserve"> %-a mutatta a fertőzés tüneteit, míg 2014-ben ez az</w:t>
      </w:r>
      <w:r>
        <w:rPr>
          <w:rFonts w:ascii="Times New Roman" w:hAnsi="Times New Roman"/>
          <w:sz w:val="24"/>
          <w:szCs w:val="24"/>
        </w:rPr>
        <w:t xml:space="preserve"> érték 21,7 %</w:t>
      </w:r>
      <w:r w:rsidR="00672E76">
        <w:rPr>
          <w:rFonts w:ascii="Times New Roman" w:hAnsi="Times New Roman"/>
          <w:sz w:val="24"/>
          <w:szCs w:val="24"/>
        </w:rPr>
        <w:t xml:space="preserve">-ra </w:t>
      </w:r>
      <w:r w:rsidR="00672E76" w:rsidRPr="00013BF0">
        <w:rPr>
          <w:rFonts w:ascii="Times New Roman" w:hAnsi="Times New Roman"/>
          <w:sz w:val="24"/>
          <w:szCs w:val="24"/>
        </w:rPr>
        <w:t>emelkedett</w:t>
      </w:r>
      <w:r>
        <w:rPr>
          <w:rFonts w:ascii="Times New Roman" w:hAnsi="Times New Roman"/>
          <w:sz w:val="24"/>
          <w:szCs w:val="24"/>
        </w:rPr>
        <w:t>, 2015-ben pedig 12,0</w:t>
      </w:r>
      <w:r w:rsidRPr="00425C19">
        <w:rPr>
          <w:rFonts w:ascii="Times New Roman" w:hAnsi="Times New Roman"/>
          <w:sz w:val="24"/>
          <w:szCs w:val="24"/>
        </w:rPr>
        <w:t xml:space="preserve"> % volt.</w:t>
      </w:r>
      <w:r w:rsidR="00D444B5">
        <w:rPr>
          <w:rFonts w:ascii="Times New Roman" w:hAnsi="Times New Roman"/>
          <w:sz w:val="24"/>
          <w:szCs w:val="24"/>
        </w:rPr>
        <w:t xml:space="preserve"> </w:t>
      </w:r>
      <w:r w:rsidR="00564D0F">
        <w:rPr>
          <w:rFonts w:ascii="Times New Roman" w:hAnsi="Times New Roman"/>
          <w:sz w:val="24"/>
          <w:szCs w:val="24"/>
        </w:rPr>
        <w:t xml:space="preserve">Az </w:t>
      </w:r>
      <w:proofErr w:type="spellStart"/>
      <w:r w:rsidR="00564D0F">
        <w:rPr>
          <w:rFonts w:ascii="Times New Roman" w:hAnsi="Times New Roman"/>
          <w:sz w:val="24"/>
          <w:szCs w:val="24"/>
        </w:rPr>
        <w:t>Esca</w:t>
      </w:r>
      <w:proofErr w:type="spellEnd"/>
      <w:r w:rsidR="00564D0F">
        <w:rPr>
          <w:rFonts w:ascii="Times New Roman" w:hAnsi="Times New Roman"/>
          <w:sz w:val="24"/>
          <w:szCs w:val="24"/>
        </w:rPr>
        <w:t xml:space="preserve"> és BDA fertőzés levéltüneteinek hasonlósága miatt az elkülönítés alapja legfeljebb a tünetek jelentkezési ideje lehet, mivel a júniusi tünetmegjelenés a </w:t>
      </w:r>
      <w:proofErr w:type="spellStart"/>
      <w:r w:rsidR="00564D0F">
        <w:rPr>
          <w:rFonts w:ascii="Times New Roman" w:hAnsi="Times New Roman"/>
          <w:sz w:val="24"/>
          <w:szCs w:val="24"/>
        </w:rPr>
        <w:t>BDA-ra</w:t>
      </w:r>
      <w:proofErr w:type="spellEnd"/>
      <w:r w:rsidR="00564D0F">
        <w:rPr>
          <w:rFonts w:ascii="Times New Roman" w:hAnsi="Times New Roman"/>
          <w:sz w:val="24"/>
          <w:szCs w:val="24"/>
        </w:rPr>
        <w:t xml:space="preserve"> jellemző, míg az </w:t>
      </w:r>
      <w:proofErr w:type="spellStart"/>
      <w:r w:rsidR="00564D0F">
        <w:rPr>
          <w:rFonts w:ascii="Times New Roman" w:hAnsi="Times New Roman"/>
          <w:sz w:val="24"/>
          <w:szCs w:val="24"/>
        </w:rPr>
        <w:t>Esca</w:t>
      </w:r>
      <w:proofErr w:type="spellEnd"/>
      <w:r w:rsidR="00564D0F">
        <w:rPr>
          <w:rFonts w:ascii="Times New Roman" w:hAnsi="Times New Roman"/>
          <w:sz w:val="24"/>
          <w:szCs w:val="24"/>
        </w:rPr>
        <w:t xml:space="preserve"> tünetei július elején kezdenek láthatóvá válni (Mikulás, 2014). 2015-ben a </w:t>
      </w:r>
      <w:r w:rsidR="00E20DB6">
        <w:rPr>
          <w:rFonts w:ascii="Times New Roman" w:hAnsi="Times New Roman"/>
          <w:sz w:val="24"/>
          <w:szCs w:val="24"/>
        </w:rPr>
        <w:t xml:space="preserve">tünetek 26,8 </w:t>
      </w:r>
      <w:r w:rsidR="000F1391">
        <w:rPr>
          <w:rFonts w:ascii="Times New Roman" w:hAnsi="Times New Roman"/>
          <w:sz w:val="24"/>
          <w:szCs w:val="24"/>
        </w:rPr>
        <w:t xml:space="preserve">%-a </w:t>
      </w:r>
      <w:r w:rsidR="00876042">
        <w:rPr>
          <w:rFonts w:ascii="Times New Roman" w:hAnsi="Times New Roman"/>
          <w:sz w:val="24"/>
          <w:szCs w:val="24"/>
        </w:rPr>
        <w:t xml:space="preserve">már </w:t>
      </w:r>
      <w:r w:rsidR="000F1391">
        <w:rPr>
          <w:rFonts w:ascii="Times New Roman" w:hAnsi="Times New Roman"/>
          <w:sz w:val="24"/>
          <w:szCs w:val="24"/>
        </w:rPr>
        <w:t>júniusban jelentke</w:t>
      </w:r>
      <w:r w:rsidR="004D595D">
        <w:rPr>
          <w:rFonts w:ascii="Times New Roman" w:hAnsi="Times New Roman"/>
          <w:sz w:val="24"/>
          <w:szCs w:val="24"/>
        </w:rPr>
        <w:t xml:space="preserve">zett a Cabernet </w:t>
      </w:r>
      <w:proofErr w:type="spellStart"/>
      <w:r w:rsidR="004D595D">
        <w:rPr>
          <w:rFonts w:ascii="Times New Roman" w:hAnsi="Times New Roman"/>
          <w:sz w:val="24"/>
          <w:szCs w:val="24"/>
        </w:rPr>
        <w:t>sauvignon</w:t>
      </w:r>
      <w:proofErr w:type="spellEnd"/>
      <w:r w:rsidR="004D595D">
        <w:rPr>
          <w:rFonts w:ascii="Times New Roman" w:hAnsi="Times New Roman"/>
          <w:sz w:val="24"/>
          <w:szCs w:val="24"/>
        </w:rPr>
        <w:t xml:space="preserve"> fajtán, ugyanez az érték </w:t>
      </w:r>
      <w:r w:rsidR="008B211E">
        <w:rPr>
          <w:rFonts w:ascii="Times New Roman" w:hAnsi="Times New Roman"/>
          <w:sz w:val="24"/>
          <w:szCs w:val="24"/>
        </w:rPr>
        <w:t xml:space="preserve">a </w:t>
      </w:r>
      <w:r w:rsidR="004D595D">
        <w:rPr>
          <w:rFonts w:ascii="Times New Roman" w:hAnsi="Times New Roman"/>
          <w:sz w:val="24"/>
          <w:szCs w:val="24"/>
        </w:rPr>
        <w:t>Cirfandli</w:t>
      </w:r>
      <w:r w:rsidR="008B211E">
        <w:rPr>
          <w:rFonts w:ascii="Times New Roman" w:hAnsi="Times New Roman"/>
          <w:sz w:val="24"/>
          <w:szCs w:val="24"/>
        </w:rPr>
        <w:t>nál</w:t>
      </w:r>
      <w:r w:rsidR="004D595D">
        <w:rPr>
          <w:rFonts w:ascii="Times New Roman" w:hAnsi="Times New Roman"/>
          <w:sz w:val="24"/>
          <w:szCs w:val="24"/>
        </w:rPr>
        <w:t xml:space="preserve"> 19,4 % volt</w:t>
      </w:r>
      <w:r w:rsidR="008B211E" w:rsidDel="008B211E">
        <w:rPr>
          <w:rFonts w:ascii="Times New Roman" w:hAnsi="Times New Roman"/>
          <w:sz w:val="24"/>
          <w:szCs w:val="24"/>
        </w:rPr>
        <w:t xml:space="preserve"> </w:t>
      </w:r>
      <w:r w:rsidR="00876042">
        <w:rPr>
          <w:rFonts w:ascii="Times New Roman" w:hAnsi="Times New Roman"/>
          <w:sz w:val="24"/>
          <w:szCs w:val="24"/>
        </w:rPr>
        <w:t>(</w:t>
      </w:r>
      <w:r w:rsidR="00876042" w:rsidRPr="004D595D">
        <w:rPr>
          <w:rFonts w:ascii="Times New Roman" w:hAnsi="Times New Roman"/>
          <w:b/>
          <w:sz w:val="24"/>
          <w:szCs w:val="24"/>
        </w:rPr>
        <w:t>1. ábra</w:t>
      </w:r>
      <w:r w:rsidR="00876042">
        <w:rPr>
          <w:rFonts w:ascii="Times New Roman" w:hAnsi="Times New Roman"/>
          <w:sz w:val="24"/>
          <w:szCs w:val="24"/>
        </w:rPr>
        <w:t>)</w:t>
      </w:r>
      <w:r w:rsidR="000F1391">
        <w:rPr>
          <w:rFonts w:ascii="Times New Roman" w:hAnsi="Times New Roman"/>
          <w:sz w:val="24"/>
          <w:szCs w:val="24"/>
        </w:rPr>
        <w:t>.</w:t>
      </w:r>
      <w:r w:rsidR="004D595D">
        <w:rPr>
          <w:rFonts w:ascii="Times New Roman" w:hAnsi="Times New Roman"/>
          <w:sz w:val="24"/>
          <w:szCs w:val="24"/>
        </w:rPr>
        <w:t xml:space="preserve"> </w:t>
      </w:r>
      <w:r w:rsidR="00876042" w:rsidRPr="00425C19">
        <w:rPr>
          <w:rFonts w:ascii="Times New Roman" w:hAnsi="Times New Roman"/>
          <w:sz w:val="24"/>
          <w:szCs w:val="24"/>
        </w:rPr>
        <w:t>Az Intézetben korábban végzett felvételezéseink egyik megállapítása volt, hogy a száraz évet követő csapadékos évjáratban a tünetek megjelenése gyakoribb (FVM SZBKI, 2002).</w:t>
      </w:r>
      <w:r w:rsidR="004D5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0A7C">
        <w:rPr>
          <w:rFonts w:ascii="Times New Roman" w:hAnsi="Times New Roman"/>
          <w:sz w:val="24"/>
          <w:szCs w:val="24"/>
        </w:rPr>
        <w:t>Gué</w:t>
      </w:r>
      <w:r w:rsidR="00845831">
        <w:rPr>
          <w:rFonts w:ascii="Times New Roman" w:hAnsi="Times New Roman"/>
          <w:sz w:val="24"/>
          <w:szCs w:val="24"/>
        </w:rPr>
        <w:t>rin-Dubrana</w:t>
      </w:r>
      <w:proofErr w:type="spellEnd"/>
      <w:r w:rsidR="00845831">
        <w:rPr>
          <w:rFonts w:ascii="Times New Roman" w:hAnsi="Times New Roman"/>
          <w:sz w:val="24"/>
          <w:szCs w:val="24"/>
        </w:rPr>
        <w:t xml:space="preserve"> és </w:t>
      </w:r>
      <w:proofErr w:type="spellStart"/>
      <w:r w:rsidR="00845831">
        <w:rPr>
          <w:rFonts w:ascii="Times New Roman" w:hAnsi="Times New Roman"/>
          <w:sz w:val="24"/>
          <w:szCs w:val="24"/>
        </w:rPr>
        <w:t>mtsai</w:t>
      </w:r>
      <w:proofErr w:type="spellEnd"/>
      <w:r w:rsidR="00845831">
        <w:rPr>
          <w:rFonts w:ascii="Times New Roman" w:hAnsi="Times New Roman"/>
          <w:sz w:val="24"/>
          <w:szCs w:val="24"/>
        </w:rPr>
        <w:t xml:space="preserve"> (2013) vizsgálataival összhangban eredményeink arra utalnak, hogy a májustól augusztusig terjedő időszak csapadékviszonyai hatással lehetnek az </w:t>
      </w:r>
      <w:proofErr w:type="spellStart"/>
      <w:r w:rsidR="00845831">
        <w:rPr>
          <w:rFonts w:ascii="Times New Roman" w:hAnsi="Times New Roman"/>
          <w:sz w:val="24"/>
          <w:szCs w:val="24"/>
        </w:rPr>
        <w:t>Esca</w:t>
      </w:r>
      <w:proofErr w:type="spellEnd"/>
      <w:r w:rsidR="00845831">
        <w:rPr>
          <w:rFonts w:ascii="Times New Roman" w:hAnsi="Times New Roman"/>
          <w:sz w:val="24"/>
          <w:szCs w:val="24"/>
        </w:rPr>
        <w:t>/BDA tünetek megjelenésének</w:t>
      </w:r>
      <w:r w:rsidR="002F1BC8">
        <w:rPr>
          <w:rFonts w:ascii="Times New Roman" w:hAnsi="Times New Roman"/>
          <w:sz w:val="24"/>
          <w:szCs w:val="24"/>
        </w:rPr>
        <w:t xml:space="preserve"> gyakoriságára</w:t>
      </w:r>
      <w:r w:rsidR="00845831">
        <w:rPr>
          <w:rFonts w:ascii="Times New Roman" w:hAnsi="Times New Roman"/>
          <w:sz w:val="24"/>
          <w:szCs w:val="24"/>
        </w:rPr>
        <w:t>.</w:t>
      </w:r>
    </w:p>
    <w:p w:rsidR="0062468E" w:rsidRDefault="00216227" w:rsidP="00AE7539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9B22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2277">
        <w:rPr>
          <w:rFonts w:ascii="Times New Roman" w:hAnsi="Times New Roman"/>
          <w:sz w:val="24"/>
          <w:szCs w:val="24"/>
        </w:rPr>
        <w:t>Merlot</w:t>
      </w:r>
      <w:proofErr w:type="spellEnd"/>
      <w:r w:rsidR="009B2277">
        <w:rPr>
          <w:rFonts w:ascii="Times New Roman" w:hAnsi="Times New Roman"/>
          <w:sz w:val="24"/>
          <w:szCs w:val="24"/>
        </w:rPr>
        <w:t xml:space="preserve"> fajtánál</w:t>
      </w:r>
      <w:r w:rsidR="00BE5D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statisztikailag igazolható eltérés</w:t>
      </w:r>
      <w:r w:rsidR="0062468E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 w:rsidR="0062468E">
        <w:rPr>
          <w:rFonts w:ascii="Times New Roman" w:hAnsi="Times New Roman"/>
          <w:sz w:val="24"/>
          <w:szCs w:val="24"/>
        </w:rPr>
        <w:t>nem találtunk</w:t>
      </w:r>
      <w:r>
        <w:rPr>
          <w:rFonts w:ascii="Times New Roman" w:hAnsi="Times New Roman"/>
          <w:sz w:val="24"/>
          <w:szCs w:val="24"/>
        </w:rPr>
        <w:t xml:space="preserve"> a </w:t>
      </w:r>
      <w:r w:rsidR="009B6AF0">
        <w:rPr>
          <w:rFonts w:ascii="Times New Roman" w:hAnsi="Times New Roman"/>
          <w:sz w:val="24"/>
          <w:szCs w:val="24"/>
        </w:rPr>
        <w:t xml:space="preserve">vizsgált </w:t>
      </w:r>
      <w:r>
        <w:rPr>
          <w:rFonts w:ascii="Times New Roman" w:hAnsi="Times New Roman"/>
          <w:sz w:val="24"/>
          <w:szCs w:val="24"/>
        </w:rPr>
        <w:t>két év felmérései között</w:t>
      </w:r>
      <w:r w:rsidR="00672E76">
        <w:rPr>
          <w:rFonts w:ascii="Times New Roman" w:hAnsi="Times New Roman"/>
          <w:sz w:val="24"/>
          <w:szCs w:val="24"/>
        </w:rPr>
        <w:t xml:space="preserve"> </w:t>
      </w:r>
      <w:r w:rsidR="00672E76" w:rsidRPr="00AE7539">
        <w:rPr>
          <w:rFonts w:ascii="Times New Roman" w:hAnsi="Times New Roman"/>
          <w:sz w:val="24"/>
          <w:szCs w:val="24"/>
        </w:rPr>
        <w:t>(1. ábra)</w:t>
      </w:r>
      <w:r w:rsidRPr="00AE75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847E4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1847E4">
        <w:rPr>
          <w:rFonts w:ascii="Times New Roman" w:hAnsi="Times New Roman"/>
          <w:sz w:val="24"/>
          <w:szCs w:val="24"/>
        </w:rPr>
        <w:t>Merlot</w:t>
      </w:r>
      <w:proofErr w:type="spellEnd"/>
      <w:r w:rsidR="001847E4">
        <w:rPr>
          <w:rFonts w:ascii="Times New Roman" w:hAnsi="Times New Roman"/>
          <w:sz w:val="24"/>
          <w:szCs w:val="24"/>
        </w:rPr>
        <w:t xml:space="preserve"> fajta kevésbé </w:t>
      </w:r>
      <w:r w:rsidR="0019046E">
        <w:rPr>
          <w:rFonts w:ascii="Times New Roman" w:hAnsi="Times New Roman"/>
          <w:sz w:val="24"/>
          <w:szCs w:val="24"/>
        </w:rPr>
        <w:t>fogékony</w:t>
      </w:r>
      <w:r w:rsidR="001847E4">
        <w:rPr>
          <w:rFonts w:ascii="Times New Roman" w:hAnsi="Times New Roman"/>
          <w:sz w:val="24"/>
          <w:szCs w:val="24"/>
        </w:rPr>
        <w:t xml:space="preserve"> a faszöveti betegségek</w:t>
      </w:r>
      <w:r w:rsidR="0019046E">
        <w:rPr>
          <w:rFonts w:ascii="Times New Roman" w:hAnsi="Times New Roman"/>
          <w:sz w:val="24"/>
          <w:szCs w:val="24"/>
        </w:rPr>
        <w:t xml:space="preserve">et előidéző </w:t>
      </w:r>
      <w:proofErr w:type="spellStart"/>
      <w:r w:rsidR="0019046E">
        <w:rPr>
          <w:rFonts w:ascii="Times New Roman" w:hAnsi="Times New Roman"/>
          <w:sz w:val="24"/>
          <w:szCs w:val="24"/>
        </w:rPr>
        <w:t>károkozokra</w:t>
      </w:r>
      <w:proofErr w:type="spellEnd"/>
      <w:r w:rsidR="002F1BC8">
        <w:rPr>
          <w:rFonts w:ascii="Times New Roman" w:hAnsi="Times New Roman"/>
          <w:sz w:val="24"/>
          <w:szCs w:val="24"/>
        </w:rPr>
        <w:t>.</w:t>
      </w:r>
      <w:r w:rsidR="00EA7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7029">
        <w:rPr>
          <w:rFonts w:ascii="Times New Roman" w:hAnsi="Times New Roman"/>
          <w:sz w:val="24"/>
          <w:szCs w:val="24"/>
        </w:rPr>
        <w:t>Pou</w:t>
      </w:r>
      <w:r w:rsidR="001847E4">
        <w:rPr>
          <w:rFonts w:ascii="Times New Roman" w:hAnsi="Times New Roman"/>
          <w:sz w:val="24"/>
          <w:szCs w:val="24"/>
        </w:rPr>
        <w:t>zoulet</w:t>
      </w:r>
      <w:proofErr w:type="spellEnd"/>
      <w:r w:rsidR="001847E4">
        <w:rPr>
          <w:rFonts w:ascii="Times New Roman" w:hAnsi="Times New Roman"/>
          <w:sz w:val="24"/>
          <w:szCs w:val="24"/>
        </w:rPr>
        <w:t xml:space="preserve"> és </w:t>
      </w:r>
      <w:proofErr w:type="spellStart"/>
      <w:r w:rsidR="001847E4">
        <w:rPr>
          <w:rFonts w:ascii="Times New Roman" w:hAnsi="Times New Roman"/>
          <w:sz w:val="24"/>
          <w:szCs w:val="24"/>
        </w:rPr>
        <w:t>mtsai</w:t>
      </w:r>
      <w:proofErr w:type="spellEnd"/>
      <w:r w:rsidR="001847E4">
        <w:rPr>
          <w:rFonts w:ascii="Times New Roman" w:hAnsi="Times New Roman"/>
          <w:sz w:val="24"/>
          <w:szCs w:val="24"/>
        </w:rPr>
        <w:t xml:space="preserve"> (2014) megállapításai alapján</w:t>
      </w:r>
      <w:r w:rsidRPr="00FF18A8">
        <w:rPr>
          <w:rFonts w:ascii="Times New Roman" w:hAnsi="Times New Roman"/>
          <w:sz w:val="24"/>
          <w:szCs w:val="24"/>
        </w:rPr>
        <w:t xml:space="preserve"> </w:t>
      </w:r>
      <w:r w:rsidR="001847E4">
        <w:rPr>
          <w:rFonts w:ascii="Times New Roman" w:hAnsi="Times New Roman"/>
          <w:sz w:val="24"/>
          <w:szCs w:val="24"/>
        </w:rPr>
        <w:t xml:space="preserve">a </w:t>
      </w:r>
      <w:proofErr w:type="gramStart"/>
      <w:r w:rsidR="001847E4">
        <w:rPr>
          <w:rFonts w:ascii="Times New Roman" w:hAnsi="Times New Roman"/>
          <w:sz w:val="24"/>
          <w:szCs w:val="24"/>
        </w:rPr>
        <w:t>kis méretű</w:t>
      </w:r>
      <w:proofErr w:type="gramEnd"/>
      <w:r w:rsidR="001847E4">
        <w:rPr>
          <w:rFonts w:ascii="Times New Roman" w:hAnsi="Times New Roman"/>
          <w:sz w:val="24"/>
          <w:szCs w:val="24"/>
        </w:rPr>
        <w:t xml:space="preserve"> szállító edénynyalábokkal rendelkező fajták, mint a </w:t>
      </w:r>
      <w:proofErr w:type="spellStart"/>
      <w:r w:rsidR="001847E4">
        <w:rPr>
          <w:rFonts w:ascii="Times New Roman" w:hAnsi="Times New Roman"/>
          <w:sz w:val="24"/>
          <w:szCs w:val="24"/>
        </w:rPr>
        <w:t>Merlot</w:t>
      </w:r>
      <w:proofErr w:type="spellEnd"/>
      <w:r w:rsidR="001847E4">
        <w:rPr>
          <w:rFonts w:ascii="Times New Roman" w:hAnsi="Times New Roman"/>
          <w:sz w:val="24"/>
          <w:szCs w:val="24"/>
        </w:rPr>
        <w:t xml:space="preserve"> gyorsabb és hatékonyabb módon tudják korlátozni a toxinok és gombasejtek terjedését, mint a nagyobb edénynyalábokkal rendelkező </w:t>
      </w:r>
      <w:r w:rsidR="00425C19">
        <w:rPr>
          <w:rFonts w:ascii="Times New Roman" w:hAnsi="Times New Roman"/>
          <w:sz w:val="24"/>
          <w:szCs w:val="24"/>
        </w:rPr>
        <w:t xml:space="preserve">fajták (pl. Cabernet </w:t>
      </w:r>
      <w:proofErr w:type="spellStart"/>
      <w:r w:rsidR="00425C19">
        <w:rPr>
          <w:rFonts w:ascii="Times New Roman" w:hAnsi="Times New Roman"/>
          <w:sz w:val="24"/>
          <w:szCs w:val="24"/>
        </w:rPr>
        <w:t>sauvignon</w:t>
      </w:r>
      <w:proofErr w:type="spellEnd"/>
      <w:r w:rsidR="00425C19">
        <w:rPr>
          <w:rFonts w:ascii="Times New Roman" w:hAnsi="Times New Roman"/>
          <w:sz w:val="24"/>
          <w:szCs w:val="24"/>
        </w:rPr>
        <w:t>).</w:t>
      </w:r>
      <w:r w:rsidR="00425C19" w:rsidRPr="00425C19">
        <w:rPr>
          <w:rFonts w:ascii="Times New Roman" w:hAnsi="Times New Roman"/>
          <w:sz w:val="24"/>
          <w:szCs w:val="24"/>
        </w:rPr>
        <w:t xml:space="preserve"> </w:t>
      </w:r>
    </w:p>
    <w:p w:rsidR="00845831" w:rsidRDefault="00D00BD8" w:rsidP="00AE7539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</w:t>
      </w:r>
      <w:r w:rsidR="00AE71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71F4">
        <w:rPr>
          <w:rFonts w:ascii="Times New Roman" w:hAnsi="Times New Roman"/>
          <w:sz w:val="24"/>
          <w:szCs w:val="24"/>
        </w:rPr>
        <w:t>Esca</w:t>
      </w:r>
      <w:proofErr w:type="spellEnd"/>
      <w:r w:rsidR="00AE71F4">
        <w:rPr>
          <w:rFonts w:ascii="Times New Roman" w:hAnsi="Times New Roman"/>
          <w:sz w:val="24"/>
          <w:szCs w:val="24"/>
        </w:rPr>
        <w:t xml:space="preserve">/BDA </w:t>
      </w:r>
      <w:r>
        <w:rPr>
          <w:rFonts w:ascii="Times New Roman" w:hAnsi="Times New Roman"/>
          <w:sz w:val="24"/>
          <w:szCs w:val="24"/>
        </w:rPr>
        <w:t xml:space="preserve">tünetek jellegének és kiterjedésének </w:t>
      </w:r>
      <w:r w:rsidR="00AE71F4">
        <w:rPr>
          <w:rFonts w:ascii="Times New Roman" w:hAnsi="Times New Roman"/>
          <w:sz w:val="24"/>
          <w:szCs w:val="24"/>
        </w:rPr>
        <w:t>skála</w:t>
      </w:r>
      <w:r>
        <w:rPr>
          <w:rFonts w:ascii="Times New Roman" w:hAnsi="Times New Roman"/>
          <w:sz w:val="24"/>
          <w:szCs w:val="24"/>
        </w:rPr>
        <w:t xml:space="preserve"> értékkel való</w:t>
      </w:r>
      <w:r w:rsidR="00AE71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jellemzés</w:t>
      </w:r>
      <w:r w:rsidR="0062468E">
        <w:rPr>
          <w:rFonts w:ascii="Times New Roman" w:hAnsi="Times New Roman"/>
          <w:sz w:val="24"/>
          <w:szCs w:val="24"/>
        </w:rPr>
        <w:t>ére is sor került 2015-ben, ennek</w:t>
      </w:r>
      <w:r>
        <w:rPr>
          <w:rFonts w:ascii="Times New Roman" w:hAnsi="Times New Roman"/>
          <w:sz w:val="24"/>
          <w:szCs w:val="24"/>
        </w:rPr>
        <w:t xml:space="preserve"> alapján a </w:t>
      </w:r>
      <w:r w:rsidR="00AE71F4">
        <w:rPr>
          <w:rFonts w:ascii="Times New Roman" w:hAnsi="Times New Roman"/>
          <w:sz w:val="24"/>
          <w:szCs w:val="24"/>
        </w:rPr>
        <w:t xml:space="preserve">Cabernet </w:t>
      </w:r>
      <w:proofErr w:type="spellStart"/>
      <w:r w:rsidR="00AE71F4">
        <w:rPr>
          <w:rFonts w:ascii="Times New Roman" w:hAnsi="Times New Roman"/>
          <w:sz w:val="24"/>
          <w:szCs w:val="24"/>
        </w:rPr>
        <w:t>sauvignon</w:t>
      </w:r>
      <w:proofErr w:type="spellEnd"/>
      <w:r w:rsidR="00AE71F4">
        <w:rPr>
          <w:rFonts w:ascii="Times New Roman" w:hAnsi="Times New Roman"/>
          <w:sz w:val="24"/>
          <w:szCs w:val="24"/>
        </w:rPr>
        <w:t xml:space="preserve"> </w:t>
      </w:r>
      <w:r w:rsidR="00AE71F4" w:rsidRPr="00AE7539">
        <w:rPr>
          <w:rFonts w:ascii="Times New Roman" w:hAnsi="Times New Roman"/>
          <w:sz w:val="24"/>
          <w:szCs w:val="24"/>
        </w:rPr>
        <w:t>(</w:t>
      </w:r>
      <w:r w:rsidR="00B714F8" w:rsidRPr="00AE7539">
        <w:rPr>
          <w:rFonts w:ascii="Times New Roman" w:hAnsi="Times New Roman"/>
          <w:sz w:val="24"/>
          <w:szCs w:val="24"/>
        </w:rPr>
        <w:t>2</w:t>
      </w:r>
      <w:r w:rsidR="00AE71F4" w:rsidRPr="00AE7539">
        <w:rPr>
          <w:rFonts w:ascii="Times New Roman" w:hAnsi="Times New Roman"/>
          <w:sz w:val="24"/>
          <w:szCs w:val="24"/>
        </w:rPr>
        <w:t>. ábra</w:t>
      </w:r>
      <w:r w:rsidR="00995C76" w:rsidRPr="00AE7539">
        <w:rPr>
          <w:rFonts w:ascii="Times New Roman" w:hAnsi="Times New Roman"/>
          <w:sz w:val="24"/>
          <w:szCs w:val="24"/>
        </w:rPr>
        <w:t>)</w:t>
      </w:r>
      <w:r w:rsidR="00995C76">
        <w:rPr>
          <w:rFonts w:ascii="Times New Roman" w:hAnsi="Times New Roman"/>
          <w:sz w:val="24"/>
          <w:szCs w:val="24"/>
        </w:rPr>
        <w:t xml:space="preserve"> és Cirfandli </w:t>
      </w:r>
      <w:r w:rsidR="00AE71F4">
        <w:rPr>
          <w:rFonts w:ascii="Times New Roman" w:hAnsi="Times New Roman"/>
          <w:sz w:val="24"/>
          <w:szCs w:val="24"/>
        </w:rPr>
        <w:t xml:space="preserve">fajtákon a teljes tőkén megjelenő </w:t>
      </w:r>
      <w:r>
        <w:rPr>
          <w:rFonts w:ascii="Times New Roman" w:hAnsi="Times New Roman"/>
          <w:sz w:val="24"/>
          <w:szCs w:val="24"/>
        </w:rPr>
        <w:t xml:space="preserve">krónikus </w:t>
      </w:r>
      <w:r w:rsidR="00AE71F4">
        <w:rPr>
          <w:rFonts w:ascii="Times New Roman" w:hAnsi="Times New Roman"/>
          <w:sz w:val="24"/>
          <w:szCs w:val="24"/>
        </w:rPr>
        <w:t>levéltünet</w:t>
      </w:r>
      <w:r w:rsidR="0018352B">
        <w:rPr>
          <w:rFonts w:ascii="Times New Roman" w:hAnsi="Times New Roman"/>
          <w:sz w:val="24"/>
          <w:szCs w:val="24"/>
        </w:rPr>
        <w:t xml:space="preserve"> (5-ös skála érték)</w:t>
      </w:r>
      <w:r w:rsidR="00AE71F4">
        <w:rPr>
          <w:rFonts w:ascii="Times New Roman" w:hAnsi="Times New Roman"/>
          <w:sz w:val="24"/>
          <w:szCs w:val="24"/>
        </w:rPr>
        <w:t xml:space="preserve"> volt a</w:t>
      </w:r>
      <w:r w:rsidR="008B1199">
        <w:rPr>
          <w:rFonts w:ascii="Times New Roman" w:hAnsi="Times New Roman"/>
          <w:sz w:val="24"/>
          <w:szCs w:val="24"/>
        </w:rPr>
        <w:t xml:space="preserve"> </w:t>
      </w:r>
      <w:r w:rsidR="0062468E">
        <w:rPr>
          <w:rFonts w:ascii="Times New Roman" w:hAnsi="Times New Roman"/>
          <w:sz w:val="24"/>
          <w:szCs w:val="24"/>
        </w:rPr>
        <w:t>meghatározó</w:t>
      </w:r>
      <w:r w:rsidR="00314369">
        <w:rPr>
          <w:rFonts w:ascii="Times New Roman" w:hAnsi="Times New Roman"/>
          <w:sz w:val="24"/>
          <w:szCs w:val="24"/>
        </w:rPr>
        <w:t>.</w:t>
      </w:r>
      <w:r w:rsidR="004602A5">
        <w:rPr>
          <w:rFonts w:ascii="Times New Roman" w:hAnsi="Times New Roman"/>
          <w:sz w:val="24"/>
          <w:szCs w:val="24"/>
        </w:rPr>
        <w:t xml:space="preserve"> A</w:t>
      </w:r>
      <w:r w:rsidR="009B6AF0">
        <w:rPr>
          <w:rFonts w:ascii="Times New Roman" w:hAnsi="Times New Roman"/>
          <w:sz w:val="24"/>
          <w:szCs w:val="24"/>
        </w:rPr>
        <w:t>z</w:t>
      </w:r>
      <w:r w:rsidR="004602A5">
        <w:rPr>
          <w:rFonts w:ascii="Times New Roman" w:hAnsi="Times New Roman"/>
          <w:sz w:val="24"/>
          <w:szCs w:val="24"/>
        </w:rPr>
        <w:t xml:space="preserve"> akut tünetek </w:t>
      </w:r>
      <w:r w:rsidR="009B6AF0">
        <w:rPr>
          <w:rFonts w:ascii="Times New Roman" w:hAnsi="Times New Roman"/>
          <w:sz w:val="24"/>
          <w:szCs w:val="24"/>
        </w:rPr>
        <w:t xml:space="preserve">megjelenése </w:t>
      </w:r>
      <w:r w:rsidR="0018352B">
        <w:rPr>
          <w:rFonts w:ascii="Times New Roman" w:hAnsi="Times New Roman"/>
          <w:sz w:val="24"/>
          <w:szCs w:val="24"/>
        </w:rPr>
        <w:t xml:space="preserve">jelentősen </w:t>
      </w:r>
      <w:r w:rsidR="004602A5">
        <w:rPr>
          <w:rFonts w:ascii="Times New Roman" w:hAnsi="Times New Roman"/>
          <w:sz w:val="24"/>
          <w:szCs w:val="24"/>
        </w:rPr>
        <w:t>elmarad</w:t>
      </w:r>
      <w:r w:rsidR="0018352B">
        <w:rPr>
          <w:rFonts w:ascii="Times New Roman" w:hAnsi="Times New Roman"/>
          <w:sz w:val="24"/>
          <w:szCs w:val="24"/>
        </w:rPr>
        <w:t>t</w:t>
      </w:r>
      <w:r w:rsidR="004602A5">
        <w:rPr>
          <w:rFonts w:ascii="Times New Roman" w:hAnsi="Times New Roman"/>
          <w:sz w:val="24"/>
          <w:szCs w:val="24"/>
        </w:rPr>
        <w:t xml:space="preserve"> a krónikus tünetek megjelenési gyakoriságától</w:t>
      </w:r>
      <w:r w:rsidR="00C914F7">
        <w:rPr>
          <w:rFonts w:ascii="Times New Roman" w:hAnsi="Times New Roman"/>
          <w:sz w:val="24"/>
          <w:szCs w:val="24"/>
        </w:rPr>
        <w:t>, mindkét fajt</w:t>
      </w:r>
      <w:r w:rsidR="00EA624D">
        <w:rPr>
          <w:rFonts w:ascii="Times New Roman" w:hAnsi="Times New Roman"/>
          <w:sz w:val="24"/>
          <w:szCs w:val="24"/>
        </w:rPr>
        <w:t>ánál</w:t>
      </w:r>
      <w:r w:rsidR="004602A5">
        <w:rPr>
          <w:rFonts w:ascii="Times New Roman" w:hAnsi="Times New Roman"/>
          <w:sz w:val="24"/>
          <w:szCs w:val="24"/>
        </w:rPr>
        <w:t>.</w:t>
      </w:r>
    </w:p>
    <w:p w:rsidR="00EA7029" w:rsidRDefault="00EA7029" w:rsidP="00AE7539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A7029" w:rsidRDefault="00EA7029" w:rsidP="00AE7539">
      <w:pPr>
        <w:spacing w:after="0" w:line="360" w:lineRule="auto"/>
        <w:jc w:val="center"/>
      </w:pPr>
      <w:r>
        <w:rPr>
          <w:noProof/>
          <w:lang w:eastAsia="hu-HU"/>
        </w:rPr>
        <w:drawing>
          <wp:inline distT="0" distB="0" distL="0" distR="0" wp14:anchorId="2638160C" wp14:editId="50B29C1B">
            <wp:extent cx="3545456" cy="2035834"/>
            <wp:effectExtent l="0" t="0" r="17145" b="21590"/>
            <wp:docPr id="2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A7029" w:rsidRDefault="00EA7029" w:rsidP="00AE7539">
      <w:pPr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E7539">
        <w:rPr>
          <w:rFonts w:ascii="Times New Roman" w:hAnsi="Times New Roman"/>
          <w:sz w:val="24"/>
          <w:szCs w:val="24"/>
        </w:rPr>
        <w:t>ábra</w:t>
      </w:r>
      <w:r w:rsidR="00AE7539">
        <w:rPr>
          <w:rFonts w:ascii="Times New Roman" w:hAnsi="Times New Roman"/>
          <w:sz w:val="24"/>
          <w:szCs w:val="24"/>
        </w:rPr>
        <w:t>.</w:t>
      </w:r>
      <w:r w:rsidRPr="00733DCF">
        <w:rPr>
          <w:rFonts w:ascii="Times New Roman" w:hAnsi="Times New Roman"/>
          <w:sz w:val="24"/>
          <w:szCs w:val="24"/>
        </w:rPr>
        <w:t xml:space="preserve"> Cabernet </w:t>
      </w:r>
      <w:proofErr w:type="spellStart"/>
      <w:r w:rsidRPr="00733DCF">
        <w:rPr>
          <w:rFonts w:ascii="Times New Roman" w:hAnsi="Times New Roman"/>
          <w:sz w:val="24"/>
          <w:szCs w:val="24"/>
        </w:rPr>
        <w:t>sauvignon</w:t>
      </w:r>
      <w:proofErr w:type="spellEnd"/>
      <w:r w:rsidRPr="00733DCF">
        <w:rPr>
          <w:rFonts w:ascii="Times New Roman" w:hAnsi="Times New Roman"/>
          <w:sz w:val="24"/>
          <w:szCs w:val="24"/>
        </w:rPr>
        <w:t xml:space="preserve"> fajta 2015</w:t>
      </w:r>
      <w:r w:rsidR="00B80387">
        <w:rPr>
          <w:rFonts w:ascii="Times New Roman" w:hAnsi="Times New Roman"/>
          <w:sz w:val="24"/>
          <w:szCs w:val="24"/>
        </w:rPr>
        <w:t>.</w:t>
      </w:r>
      <w:r w:rsidRPr="00733DCF">
        <w:rPr>
          <w:rFonts w:ascii="Times New Roman" w:hAnsi="Times New Roman"/>
          <w:sz w:val="24"/>
          <w:szCs w:val="24"/>
        </w:rPr>
        <w:t xml:space="preserve"> évi </w:t>
      </w:r>
      <w:proofErr w:type="spellStart"/>
      <w:r w:rsidRPr="00733DCF">
        <w:rPr>
          <w:rFonts w:ascii="Times New Roman" w:hAnsi="Times New Roman"/>
          <w:sz w:val="24"/>
          <w:szCs w:val="24"/>
        </w:rPr>
        <w:t>Esca</w:t>
      </w:r>
      <w:proofErr w:type="spellEnd"/>
      <w:r w:rsidRPr="00733DCF">
        <w:rPr>
          <w:rFonts w:ascii="Times New Roman" w:hAnsi="Times New Roman"/>
          <w:sz w:val="24"/>
          <w:szCs w:val="24"/>
        </w:rPr>
        <w:t>/BDA felvételezés</w:t>
      </w:r>
      <w:r>
        <w:rPr>
          <w:rFonts w:ascii="Times New Roman" w:hAnsi="Times New Roman"/>
          <w:sz w:val="24"/>
          <w:szCs w:val="24"/>
        </w:rPr>
        <w:t>ének eredményei, a tünetek jellege és mértéke szerint.</w:t>
      </w:r>
    </w:p>
    <w:p w:rsidR="00EA7029" w:rsidRDefault="00EA7029" w:rsidP="00AE7539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05A26" w:rsidRPr="00C149D4" w:rsidRDefault="00425C19" w:rsidP="00AE7539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Mind a Cirfandli, mind pedig a Cabernet </w:t>
      </w:r>
      <w:proofErr w:type="spellStart"/>
      <w:r>
        <w:rPr>
          <w:rFonts w:ascii="Times New Roman" w:hAnsi="Times New Roman"/>
          <w:sz w:val="24"/>
          <w:szCs w:val="24"/>
        </w:rPr>
        <w:t>sauvignon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A02D5">
        <w:rPr>
          <w:rFonts w:ascii="Times New Roman" w:hAnsi="Times New Roman"/>
          <w:sz w:val="24"/>
          <w:szCs w:val="24"/>
        </w:rPr>
        <w:t>fajtánál</w:t>
      </w:r>
      <w:r>
        <w:rPr>
          <w:rFonts w:ascii="Times New Roman" w:hAnsi="Times New Roman"/>
          <w:sz w:val="24"/>
          <w:szCs w:val="24"/>
        </w:rPr>
        <w:t xml:space="preserve"> a tünetek közel 40 %-a </w:t>
      </w:r>
      <w:r w:rsidR="0062468E">
        <w:rPr>
          <w:rFonts w:ascii="Times New Roman" w:hAnsi="Times New Roman"/>
          <w:sz w:val="24"/>
          <w:szCs w:val="24"/>
        </w:rPr>
        <w:t xml:space="preserve">2015-ben </w:t>
      </w:r>
      <w:r>
        <w:rPr>
          <w:rFonts w:ascii="Times New Roman" w:hAnsi="Times New Roman"/>
          <w:sz w:val="24"/>
          <w:szCs w:val="24"/>
        </w:rPr>
        <w:t xml:space="preserve">olyan tőkéken jelentkezett, melyek </w:t>
      </w:r>
      <w:r w:rsidR="0062468E">
        <w:rPr>
          <w:rFonts w:ascii="Times New Roman" w:hAnsi="Times New Roman"/>
          <w:sz w:val="24"/>
          <w:szCs w:val="24"/>
        </w:rPr>
        <w:t>az előző évben</w:t>
      </w:r>
      <w:r>
        <w:rPr>
          <w:rFonts w:ascii="Times New Roman" w:hAnsi="Times New Roman"/>
          <w:sz w:val="24"/>
          <w:szCs w:val="24"/>
        </w:rPr>
        <w:t xml:space="preserve"> is mutatták a betegség jeleit, míg </w:t>
      </w:r>
      <w:proofErr w:type="spellStart"/>
      <w:r>
        <w:rPr>
          <w:rFonts w:ascii="Times New Roman" w:hAnsi="Times New Roman"/>
          <w:sz w:val="24"/>
          <w:szCs w:val="24"/>
        </w:rPr>
        <w:t>Merlot</w:t>
      </w:r>
      <w:proofErr w:type="spellEnd"/>
      <w:r>
        <w:rPr>
          <w:rFonts w:ascii="Times New Roman" w:hAnsi="Times New Roman"/>
          <w:sz w:val="24"/>
          <w:szCs w:val="24"/>
        </w:rPr>
        <w:t xml:space="preserve"> fajtánál ilyen összefüggéseket nem tapasztaltunk.</w:t>
      </w:r>
    </w:p>
    <w:p w:rsidR="00A05A26" w:rsidRPr="00A05A26" w:rsidRDefault="00A05A26" w:rsidP="00AE7539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Eredményeink alapján</w:t>
      </w:r>
      <w:r w:rsidRPr="00A05A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kimutattuk </w:t>
      </w:r>
      <w:r w:rsidRPr="00A05A26">
        <w:rPr>
          <w:rFonts w:ascii="Times New Roman" w:hAnsi="Times New Roman"/>
          <w:sz w:val="24"/>
          <w:szCs w:val="24"/>
        </w:rPr>
        <w:t xml:space="preserve">a betegségtünetek kifejeződésének évjáratfüggését a betegségre </w:t>
      </w:r>
      <w:r w:rsidR="0019046E">
        <w:rPr>
          <w:rFonts w:ascii="Times New Roman" w:hAnsi="Times New Roman"/>
          <w:sz w:val="24"/>
          <w:szCs w:val="24"/>
        </w:rPr>
        <w:t xml:space="preserve">(károkozókra) </w:t>
      </w:r>
      <w:r w:rsidRPr="00A05A26">
        <w:rPr>
          <w:rFonts w:ascii="Times New Roman" w:hAnsi="Times New Roman"/>
          <w:sz w:val="24"/>
          <w:szCs w:val="24"/>
        </w:rPr>
        <w:t xml:space="preserve">fogékony két fajta, a Cabernet </w:t>
      </w:r>
      <w:proofErr w:type="spellStart"/>
      <w:r w:rsidRPr="00A05A26">
        <w:rPr>
          <w:rFonts w:ascii="Times New Roman" w:hAnsi="Times New Roman"/>
          <w:sz w:val="24"/>
          <w:szCs w:val="24"/>
        </w:rPr>
        <w:t>sauvignon</w:t>
      </w:r>
      <w:proofErr w:type="spellEnd"/>
      <w:r w:rsidRPr="00A05A26">
        <w:rPr>
          <w:rFonts w:ascii="Times New Roman" w:hAnsi="Times New Roman"/>
          <w:sz w:val="24"/>
          <w:szCs w:val="24"/>
        </w:rPr>
        <w:t xml:space="preserve"> és a Cirfandli </w:t>
      </w:r>
      <w:r>
        <w:rPr>
          <w:rFonts w:ascii="Times New Roman" w:hAnsi="Times New Roman"/>
          <w:sz w:val="24"/>
          <w:szCs w:val="24"/>
        </w:rPr>
        <w:t xml:space="preserve">esetében, míg </w:t>
      </w:r>
      <w:proofErr w:type="spellStart"/>
      <w:r>
        <w:rPr>
          <w:rFonts w:ascii="Times New Roman" w:hAnsi="Times New Roman"/>
          <w:sz w:val="24"/>
          <w:szCs w:val="24"/>
        </w:rPr>
        <w:t>Merlot</w:t>
      </w:r>
      <w:proofErr w:type="spellEnd"/>
      <w:r>
        <w:rPr>
          <w:rFonts w:ascii="Times New Roman" w:hAnsi="Times New Roman"/>
          <w:sz w:val="24"/>
          <w:szCs w:val="24"/>
        </w:rPr>
        <w:t xml:space="preserve"> tekintetében nem találtunk összefüggést</w:t>
      </w:r>
      <w:r w:rsidR="00931F35">
        <w:rPr>
          <w:rFonts w:ascii="Times New Roman" w:hAnsi="Times New Roman"/>
          <w:sz w:val="24"/>
          <w:szCs w:val="24"/>
        </w:rPr>
        <w:t xml:space="preserve"> az évjárat és a tünetmegjelenés</w:t>
      </w:r>
      <w:r>
        <w:rPr>
          <w:rFonts w:ascii="Times New Roman" w:hAnsi="Times New Roman"/>
          <w:sz w:val="24"/>
          <w:szCs w:val="24"/>
        </w:rPr>
        <w:t xml:space="preserve"> között.</w:t>
      </w:r>
    </w:p>
    <w:p w:rsidR="00A05A26" w:rsidRPr="00A05A26" w:rsidRDefault="00A05A26" w:rsidP="00AE7539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9390F" w:rsidRDefault="0049390F" w:rsidP="00AE753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65D8F">
        <w:rPr>
          <w:rFonts w:ascii="Times New Roman" w:hAnsi="Times New Roman"/>
          <w:b/>
          <w:sz w:val="24"/>
          <w:szCs w:val="24"/>
        </w:rPr>
        <w:t>Hivatkozások</w:t>
      </w:r>
    </w:p>
    <w:p w:rsidR="002E56C0" w:rsidRDefault="002E56C0" w:rsidP="00AE753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4537" w:rsidRDefault="00554537" w:rsidP="00AE75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Dula</w:t>
      </w:r>
      <w:proofErr w:type="spellEnd"/>
      <w:r>
        <w:rPr>
          <w:rFonts w:ascii="Times New Roman" w:hAnsi="Times New Roman"/>
          <w:sz w:val="24"/>
          <w:szCs w:val="24"/>
        </w:rPr>
        <w:t>, B.-</w:t>
      </w:r>
      <w:proofErr w:type="gramStart"/>
      <w:r>
        <w:rPr>
          <w:rFonts w:ascii="Times New Roman" w:hAnsi="Times New Roman"/>
          <w:sz w:val="24"/>
          <w:szCs w:val="24"/>
        </w:rPr>
        <w:t>né</w:t>
      </w:r>
      <w:proofErr w:type="gramEnd"/>
      <w:r w:rsidR="00AE7539">
        <w:rPr>
          <w:rFonts w:ascii="Times New Roman" w:hAnsi="Times New Roman"/>
          <w:sz w:val="24"/>
          <w:szCs w:val="24"/>
        </w:rPr>
        <w:t xml:space="preserve"> 2007.</w:t>
      </w:r>
      <w:r w:rsidR="002B00EB">
        <w:rPr>
          <w:rFonts w:ascii="Times New Roman" w:hAnsi="Times New Roman"/>
          <w:sz w:val="24"/>
          <w:szCs w:val="24"/>
        </w:rPr>
        <w:t xml:space="preserve"> A szőlő </w:t>
      </w:r>
      <w:proofErr w:type="spellStart"/>
      <w:r w:rsidR="002B00EB">
        <w:rPr>
          <w:rFonts w:ascii="Times New Roman" w:hAnsi="Times New Roman"/>
          <w:sz w:val="24"/>
          <w:szCs w:val="24"/>
        </w:rPr>
        <w:t>esca</w:t>
      </w:r>
      <w:proofErr w:type="spellEnd"/>
      <w:r w:rsidR="002B00EB">
        <w:rPr>
          <w:rFonts w:ascii="Times New Roman" w:hAnsi="Times New Roman"/>
          <w:sz w:val="24"/>
          <w:szCs w:val="24"/>
        </w:rPr>
        <w:t xml:space="preserve"> betegsége. </w:t>
      </w:r>
      <w:proofErr w:type="spellStart"/>
      <w:r w:rsidR="002B00EB">
        <w:rPr>
          <w:rFonts w:ascii="Times New Roman" w:hAnsi="Times New Roman"/>
          <w:sz w:val="24"/>
          <w:szCs w:val="24"/>
        </w:rPr>
        <w:t>Agrofórum</w:t>
      </w:r>
      <w:proofErr w:type="spellEnd"/>
      <w:r w:rsidR="002B00EB">
        <w:rPr>
          <w:rFonts w:ascii="Times New Roman" w:hAnsi="Times New Roman"/>
          <w:sz w:val="24"/>
          <w:szCs w:val="24"/>
        </w:rPr>
        <w:t xml:space="preserve"> 18. évfolyam, Extra 20, 9-10. </w:t>
      </w:r>
    </w:p>
    <w:p w:rsidR="000A08ED" w:rsidRDefault="002E56C0" w:rsidP="00AE75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5CEE">
        <w:rPr>
          <w:rFonts w:ascii="Times New Roman" w:hAnsi="Times New Roman"/>
          <w:sz w:val="24"/>
          <w:szCs w:val="24"/>
        </w:rPr>
        <w:t>FVM Szőlészeti és Borás</w:t>
      </w:r>
      <w:r w:rsidR="00AE7539">
        <w:rPr>
          <w:rFonts w:ascii="Times New Roman" w:hAnsi="Times New Roman"/>
          <w:sz w:val="24"/>
          <w:szCs w:val="24"/>
        </w:rPr>
        <w:t>zati Kutatóintézet, Pécs 2002.</w:t>
      </w:r>
      <w:r w:rsidRPr="00815CEE">
        <w:rPr>
          <w:rFonts w:ascii="Times New Roman" w:hAnsi="Times New Roman"/>
          <w:sz w:val="24"/>
          <w:szCs w:val="24"/>
        </w:rPr>
        <w:t xml:space="preserve"> Környezetkímélő szőlőtermesztési technológia fejlesztése különös tekintettel az </w:t>
      </w:r>
      <w:proofErr w:type="spellStart"/>
      <w:r w:rsidRPr="00815CEE">
        <w:rPr>
          <w:rFonts w:ascii="Times New Roman" w:hAnsi="Times New Roman"/>
          <w:sz w:val="24"/>
          <w:szCs w:val="24"/>
        </w:rPr>
        <w:t>Esca</w:t>
      </w:r>
      <w:proofErr w:type="spellEnd"/>
      <w:r w:rsidRPr="00815CEE">
        <w:rPr>
          <w:rFonts w:ascii="Times New Roman" w:hAnsi="Times New Roman"/>
          <w:sz w:val="24"/>
          <w:szCs w:val="24"/>
        </w:rPr>
        <w:t xml:space="preserve"> kártételének mérséklésére. Beszámoló a kutatási feladat teljesítéséről</w:t>
      </w:r>
      <w:r w:rsidR="0019046E">
        <w:rPr>
          <w:rFonts w:ascii="Times New Roman" w:hAnsi="Times New Roman"/>
          <w:sz w:val="24"/>
          <w:szCs w:val="24"/>
        </w:rPr>
        <w:t>,</w:t>
      </w:r>
      <w:r w:rsidRPr="00815CEE">
        <w:rPr>
          <w:rFonts w:ascii="Times New Roman" w:hAnsi="Times New Roman"/>
          <w:sz w:val="24"/>
          <w:szCs w:val="24"/>
        </w:rPr>
        <w:t xml:space="preserve"> Azonosítószám: KF-70.</w:t>
      </w:r>
    </w:p>
    <w:p w:rsidR="000A08ED" w:rsidRDefault="000A08ED" w:rsidP="00AE75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spellStart"/>
      <w:r w:rsidRPr="000A08ED">
        <w:rPr>
          <w:rFonts w:ascii="Times New Roman" w:hAnsi="Times New Roman"/>
          <w:sz w:val="24"/>
          <w:szCs w:val="24"/>
          <w:lang w:eastAsia="hu-HU"/>
        </w:rPr>
        <w:t>Guérin-Dubrana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L.</w:t>
      </w:r>
      <w:r w:rsidRPr="000A08ED">
        <w:rPr>
          <w:rFonts w:ascii="Times New Roman" w:hAnsi="Times New Roman"/>
          <w:sz w:val="24"/>
          <w:szCs w:val="24"/>
          <w:lang w:eastAsia="hu-HU"/>
        </w:rPr>
        <w:t>,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Labenne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>, A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.</w:t>
      </w:r>
      <w:r w:rsidRPr="001C306B">
        <w:rPr>
          <w:rFonts w:ascii="Times New Roman" w:hAnsi="Times New Roman"/>
          <w:sz w:val="24"/>
          <w:szCs w:val="24"/>
          <w:lang w:eastAsia="hu-HU"/>
        </w:rPr>
        <w:t>,</w:t>
      </w:r>
      <w:proofErr w:type="gramEnd"/>
      <w:r w:rsidRPr="001C306B">
        <w:rPr>
          <w:rFonts w:ascii="Times New Roman" w:hAnsi="Times New Roman"/>
          <w:sz w:val="24"/>
          <w:szCs w:val="24"/>
          <w:lang w:eastAsia="hu-HU"/>
        </w:rPr>
        <w:t xml:space="preserve"> Jean </w:t>
      </w:r>
      <w:proofErr w:type="spellStart"/>
      <w:r w:rsidRPr="001C306B">
        <w:rPr>
          <w:rFonts w:ascii="Times New Roman" w:hAnsi="Times New Roman"/>
          <w:sz w:val="24"/>
          <w:szCs w:val="24"/>
          <w:lang w:eastAsia="hu-HU"/>
        </w:rPr>
        <w:t>Labrousse</w:t>
      </w:r>
      <w:proofErr w:type="spellEnd"/>
      <w:r w:rsidRPr="001C306B">
        <w:rPr>
          <w:rFonts w:ascii="Times New Roman" w:hAnsi="Times New Roman"/>
          <w:sz w:val="24"/>
          <w:szCs w:val="24"/>
          <w:lang w:eastAsia="hu-HU"/>
        </w:rPr>
        <w:t>,</w:t>
      </w:r>
      <w:r>
        <w:rPr>
          <w:rFonts w:ascii="Times New Roman" w:hAnsi="Times New Roman"/>
          <w:sz w:val="24"/>
          <w:szCs w:val="24"/>
          <w:lang w:eastAsia="hu-HU"/>
        </w:rPr>
        <w:t xml:space="preserve"> J., C., </w:t>
      </w:r>
      <w:proofErr w:type="spellStart"/>
      <w:r w:rsidRPr="001C306B">
        <w:rPr>
          <w:rFonts w:ascii="Times New Roman" w:hAnsi="Times New Roman"/>
          <w:sz w:val="24"/>
          <w:szCs w:val="24"/>
          <w:lang w:eastAsia="hu-HU"/>
        </w:rPr>
        <w:t>Bastien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>, S.</w:t>
      </w:r>
      <w:r w:rsidRPr="001C306B">
        <w:rPr>
          <w:rFonts w:ascii="Times New Roman" w:hAnsi="Times New Roman"/>
          <w:sz w:val="24"/>
          <w:szCs w:val="24"/>
          <w:lang w:eastAsia="hu-HU"/>
        </w:rPr>
        <w:t xml:space="preserve">, </w:t>
      </w:r>
      <w:proofErr w:type="spellStart"/>
      <w:r w:rsidRPr="001C306B">
        <w:rPr>
          <w:rFonts w:ascii="Times New Roman" w:hAnsi="Times New Roman"/>
          <w:sz w:val="24"/>
          <w:szCs w:val="24"/>
          <w:lang w:eastAsia="hu-HU"/>
        </w:rPr>
        <w:t>Rey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>, P.</w:t>
      </w:r>
      <w:r w:rsidRPr="001C306B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 xml:space="preserve">and </w:t>
      </w:r>
      <w:proofErr w:type="spellStart"/>
      <w:r w:rsidRPr="001C306B">
        <w:rPr>
          <w:rFonts w:ascii="Times New Roman" w:hAnsi="Times New Roman"/>
          <w:sz w:val="24"/>
          <w:szCs w:val="24"/>
          <w:lang w:eastAsia="hu-HU"/>
        </w:rPr>
        <w:t>Gégout-Petit</w:t>
      </w:r>
      <w:proofErr w:type="spellEnd"/>
      <w:r w:rsidR="00AE7539">
        <w:rPr>
          <w:rFonts w:ascii="Times New Roman" w:hAnsi="Times New Roman"/>
          <w:sz w:val="24"/>
          <w:szCs w:val="24"/>
          <w:lang w:eastAsia="hu-HU"/>
        </w:rPr>
        <w:t>, A. 2013.</w:t>
      </w:r>
      <w:r w:rsidRPr="001C306B"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1C306B">
        <w:rPr>
          <w:rFonts w:ascii="Times New Roman" w:hAnsi="Times New Roman"/>
          <w:bCs/>
          <w:sz w:val="24"/>
          <w:szCs w:val="24"/>
          <w:lang w:eastAsia="hu-HU"/>
        </w:rPr>
        <w:t>Statistical</w:t>
      </w:r>
      <w:proofErr w:type="spellEnd"/>
      <w:r w:rsidRPr="001C306B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proofErr w:type="spellStart"/>
      <w:r w:rsidRPr="001C306B">
        <w:rPr>
          <w:rFonts w:ascii="Times New Roman" w:hAnsi="Times New Roman"/>
          <w:bCs/>
          <w:sz w:val="24"/>
          <w:szCs w:val="24"/>
          <w:lang w:eastAsia="hu-HU"/>
        </w:rPr>
        <w:t>analysis</w:t>
      </w:r>
      <w:proofErr w:type="spellEnd"/>
      <w:r w:rsidRPr="001C306B">
        <w:rPr>
          <w:rFonts w:ascii="Times New Roman" w:hAnsi="Times New Roman"/>
          <w:bCs/>
          <w:sz w:val="24"/>
          <w:szCs w:val="24"/>
          <w:lang w:eastAsia="hu-HU"/>
        </w:rPr>
        <w:t xml:space="preserve"> of </w:t>
      </w:r>
      <w:proofErr w:type="spellStart"/>
      <w:r w:rsidRPr="001C306B">
        <w:rPr>
          <w:rFonts w:ascii="Times New Roman" w:hAnsi="Times New Roman"/>
          <w:bCs/>
          <w:sz w:val="24"/>
          <w:szCs w:val="24"/>
          <w:lang w:eastAsia="hu-HU"/>
        </w:rPr>
        <w:t>grapevine</w:t>
      </w:r>
      <w:proofErr w:type="spellEnd"/>
      <w:r w:rsidRPr="001C306B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proofErr w:type="spellStart"/>
      <w:r w:rsidRPr="001C306B">
        <w:rPr>
          <w:rFonts w:ascii="Times New Roman" w:hAnsi="Times New Roman"/>
          <w:bCs/>
          <w:sz w:val="24"/>
          <w:szCs w:val="24"/>
          <w:lang w:eastAsia="hu-HU"/>
        </w:rPr>
        <w:t>mortality</w:t>
      </w:r>
      <w:proofErr w:type="spellEnd"/>
      <w:r w:rsidRPr="001C306B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proofErr w:type="spellStart"/>
      <w:r w:rsidRPr="001C306B">
        <w:rPr>
          <w:rFonts w:ascii="Times New Roman" w:hAnsi="Times New Roman"/>
          <w:bCs/>
          <w:sz w:val="24"/>
          <w:szCs w:val="24"/>
          <w:lang w:eastAsia="hu-HU"/>
        </w:rPr>
        <w:t>associated</w:t>
      </w:r>
      <w:proofErr w:type="spellEnd"/>
      <w:r w:rsidRPr="001C306B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proofErr w:type="spellStart"/>
      <w:r w:rsidRPr="001C306B">
        <w:rPr>
          <w:rFonts w:ascii="Times New Roman" w:hAnsi="Times New Roman"/>
          <w:bCs/>
          <w:sz w:val="24"/>
          <w:szCs w:val="24"/>
          <w:lang w:eastAsia="hu-HU"/>
        </w:rPr>
        <w:t>with</w:t>
      </w:r>
      <w:proofErr w:type="spellEnd"/>
      <w:r w:rsidRPr="001C306B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proofErr w:type="spellStart"/>
      <w:r w:rsidRPr="001C306B">
        <w:rPr>
          <w:rFonts w:ascii="Times New Roman" w:hAnsi="Times New Roman"/>
          <w:bCs/>
          <w:sz w:val="24"/>
          <w:szCs w:val="24"/>
          <w:lang w:eastAsia="hu-HU"/>
        </w:rPr>
        <w:t>esca</w:t>
      </w:r>
      <w:proofErr w:type="spellEnd"/>
      <w:r w:rsidRPr="001C306B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proofErr w:type="spellStart"/>
      <w:r w:rsidRPr="001C306B">
        <w:rPr>
          <w:rFonts w:ascii="Times New Roman" w:hAnsi="Times New Roman"/>
          <w:bCs/>
          <w:sz w:val="24"/>
          <w:szCs w:val="24"/>
          <w:lang w:eastAsia="hu-HU"/>
        </w:rPr>
        <w:t>or</w:t>
      </w:r>
      <w:proofErr w:type="spellEnd"/>
      <w:r w:rsidRPr="001C306B"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19046E">
        <w:rPr>
          <w:rFonts w:ascii="Times New Roman" w:hAnsi="Times New Roman"/>
          <w:bCs/>
          <w:i/>
          <w:sz w:val="24"/>
          <w:szCs w:val="24"/>
          <w:lang w:eastAsia="hu-HU"/>
        </w:rPr>
        <w:t>Eutypa</w:t>
      </w:r>
      <w:proofErr w:type="spellEnd"/>
      <w:r w:rsidRPr="001C306B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proofErr w:type="spellStart"/>
      <w:r w:rsidRPr="001C306B">
        <w:rPr>
          <w:rFonts w:ascii="Times New Roman" w:hAnsi="Times New Roman"/>
          <w:bCs/>
          <w:sz w:val="24"/>
          <w:szCs w:val="24"/>
          <w:lang w:eastAsia="hu-HU"/>
        </w:rPr>
        <w:t>dieback</w:t>
      </w:r>
      <w:proofErr w:type="spellEnd"/>
      <w:r w:rsidRPr="001C306B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proofErr w:type="spellStart"/>
      <w:r w:rsidRPr="001C306B">
        <w:rPr>
          <w:rFonts w:ascii="Times New Roman" w:hAnsi="Times New Roman"/>
          <w:bCs/>
          <w:sz w:val="24"/>
          <w:szCs w:val="24"/>
          <w:lang w:eastAsia="hu-HU"/>
        </w:rPr>
        <w:t>foliar</w:t>
      </w:r>
      <w:proofErr w:type="spellEnd"/>
      <w:r w:rsidRPr="001C306B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proofErr w:type="spellStart"/>
      <w:r w:rsidRPr="001C306B">
        <w:rPr>
          <w:rFonts w:ascii="Times New Roman" w:hAnsi="Times New Roman"/>
          <w:bCs/>
          <w:sz w:val="24"/>
          <w:szCs w:val="24"/>
          <w:lang w:eastAsia="hu-HU"/>
        </w:rPr>
        <w:t>expression</w:t>
      </w:r>
      <w:proofErr w:type="spellEnd"/>
      <w:r w:rsidR="0019046E">
        <w:rPr>
          <w:rFonts w:ascii="Times New Roman" w:hAnsi="Times New Roman"/>
          <w:bCs/>
          <w:sz w:val="24"/>
          <w:szCs w:val="24"/>
          <w:lang w:eastAsia="hu-HU"/>
        </w:rPr>
        <w:t>.</w:t>
      </w:r>
      <w:r w:rsidRPr="001C306B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9046E">
        <w:rPr>
          <w:rFonts w:ascii="Times New Roman" w:hAnsi="Times New Roman"/>
          <w:iCs/>
          <w:sz w:val="24"/>
          <w:szCs w:val="24"/>
          <w:lang w:eastAsia="hu-HU"/>
        </w:rPr>
        <w:t>Phytopathologia</w:t>
      </w:r>
      <w:proofErr w:type="spellEnd"/>
      <w:r w:rsidRPr="0019046E">
        <w:rPr>
          <w:rFonts w:ascii="Times New Roman" w:hAnsi="Times New Roman"/>
          <w:iCs/>
          <w:sz w:val="24"/>
          <w:szCs w:val="24"/>
          <w:lang w:eastAsia="hu-HU"/>
        </w:rPr>
        <w:t xml:space="preserve"> </w:t>
      </w:r>
      <w:proofErr w:type="spellStart"/>
      <w:r w:rsidRPr="0019046E">
        <w:rPr>
          <w:rFonts w:ascii="Times New Roman" w:hAnsi="Times New Roman"/>
          <w:iCs/>
          <w:sz w:val="24"/>
          <w:szCs w:val="24"/>
          <w:lang w:eastAsia="hu-HU"/>
        </w:rPr>
        <w:t>Mediterranea</w:t>
      </w:r>
      <w:proofErr w:type="spellEnd"/>
      <w:r w:rsidR="006148BF">
        <w:rPr>
          <w:rFonts w:ascii="Times New Roman" w:hAnsi="Times New Roman"/>
          <w:sz w:val="24"/>
          <w:szCs w:val="24"/>
          <w:lang w:eastAsia="hu-HU"/>
        </w:rPr>
        <w:t xml:space="preserve"> 52. 2.</w:t>
      </w:r>
      <w:r w:rsidRPr="001C306B">
        <w:rPr>
          <w:rFonts w:ascii="Times New Roman" w:hAnsi="Times New Roman"/>
          <w:sz w:val="24"/>
          <w:szCs w:val="24"/>
          <w:lang w:eastAsia="hu-HU"/>
        </w:rPr>
        <w:t xml:space="preserve"> 276−288</w:t>
      </w:r>
    </w:p>
    <w:p w:rsidR="005E4E81" w:rsidRPr="005E4E81" w:rsidRDefault="00AE7539" w:rsidP="00AE753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Lehoczky, J. 1974.</w:t>
      </w:r>
      <w:r w:rsidR="005E4E81" w:rsidRPr="005E4E81">
        <w:rPr>
          <w:rFonts w:ascii="Times New Roman" w:eastAsia="Times New Roman" w:hAnsi="Times New Roman"/>
          <w:sz w:val="24"/>
          <w:szCs w:val="24"/>
          <w:lang w:eastAsia="hu-HU"/>
        </w:rPr>
        <w:t xml:space="preserve"> Black </w:t>
      </w:r>
      <w:proofErr w:type="spellStart"/>
      <w:r w:rsidR="005E4E81" w:rsidRPr="005E4E81">
        <w:rPr>
          <w:rFonts w:ascii="Times New Roman" w:eastAsia="Times New Roman" w:hAnsi="Times New Roman"/>
          <w:sz w:val="24"/>
          <w:szCs w:val="24"/>
          <w:lang w:eastAsia="hu-HU"/>
        </w:rPr>
        <w:t>dead</w:t>
      </w:r>
      <w:proofErr w:type="spellEnd"/>
      <w:r w:rsidR="005E4E81" w:rsidRPr="005E4E8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="005E4E81" w:rsidRPr="005E4E81">
        <w:rPr>
          <w:rFonts w:ascii="Times New Roman" w:eastAsia="Times New Roman" w:hAnsi="Times New Roman"/>
          <w:sz w:val="24"/>
          <w:szCs w:val="24"/>
          <w:lang w:eastAsia="hu-HU"/>
        </w:rPr>
        <w:t>arm</w:t>
      </w:r>
      <w:proofErr w:type="spellEnd"/>
      <w:r w:rsidR="005E4E81" w:rsidRPr="005E4E8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="005E4E81" w:rsidRPr="005E4E81">
        <w:rPr>
          <w:rFonts w:ascii="Times New Roman" w:eastAsia="Times New Roman" w:hAnsi="Times New Roman"/>
          <w:sz w:val="24"/>
          <w:szCs w:val="24"/>
          <w:lang w:eastAsia="hu-HU"/>
        </w:rPr>
        <w:t>disease</w:t>
      </w:r>
      <w:proofErr w:type="spellEnd"/>
      <w:r w:rsidR="005E4E81" w:rsidRPr="005E4E81">
        <w:rPr>
          <w:rFonts w:ascii="Times New Roman" w:eastAsia="Times New Roman" w:hAnsi="Times New Roman"/>
          <w:sz w:val="24"/>
          <w:szCs w:val="24"/>
          <w:lang w:eastAsia="hu-HU"/>
        </w:rPr>
        <w:t xml:space="preserve"> of </w:t>
      </w:r>
      <w:proofErr w:type="spellStart"/>
      <w:r w:rsidR="005E4E81" w:rsidRPr="005E4E81">
        <w:rPr>
          <w:rFonts w:ascii="Times New Roman" w:eastAsia="Times New Roman" w:hAnsi="Times New Roman"/>
          <w:sz w:val="24"/>
          <w:szCs w:val="24"/>
          <w:lang w:eastAsia="hu-HU"/>
        </w:rPr>
        <w:t>grapevine</w:t>
      </w:r>
      <w:proofErr w:type="spellEnd"/>
      <w:r w:rsidR="005E4E81" w:rsidRPr="005E4E8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="005E4E81" w:rsidRPr="005E4E81">
        <w:rPr>
          <w:rFonts w:ascii="Times New Roman" w:eastAsia="Times New Roman" w:hAnsi="Times New Roman"/>
          <w:sz w:val="24"/>
          <w:szCs w:val="24"/>
          <w:lang w:eastAsia="hu-HU"/>
        </w:rPr>
        <w:t>caused</w:t>
      </w:r>
      <w:proofErr w:type="spellEnd"/>
      <w:r w:rsidR="005E4E81" w:rsidRPr="005E4E8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="005E4E81" w:rsidRPr="005E4E81">
        <w:rPr>
          <w:rFonts w:ascii="Times New Roman" w:eastAsia="Times New Roman" w:hAnsi="Times New Roman"/>
          <w:sz w:val="24"/>
          <w:szCs w:val="24"/>
          <w:lang w:eastAsia="hu-HU"/>
        </w:rPr>
        <w:t>by</w:t>
      </w:r>
      <w:proofErr w:type="spellEnd"/>
      <w:r w:rsidR="005E4E81" w:rsidRPr="005E4E8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="005E4E81" w:rsidRPr="0019046E">
        <w:rPr>
          <w:rFonts w:ascii="Times New Roman" w:eastAsia="Times New Roman" w:hAnsi="Times New Roman"/>
          <w:i/>
          <w:sz w:val="24"/>
          <w:szCs w:val="24"/>
          <w:lang w:eastAsia="hu-HU"/>
        </w:rPr>
        <w:t>Bortyosphaeria</w:t>
      </w:r>
      <w:proofErr w:type="spellEnd"/>
      <w:r w:rsidR="005E4E81" w:rsidRPr="005E4E8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="005E4E81" w:rsidRPr="005E4E81">
        <w:rPr>
          <w:rFonts w:ascii="Times New Roman" w:eastAsia="Times New Roman" w:hAnsi="Times New Roman"/>
          <w:sz w:val="24"/>
          <w:szCs w:val="24"/>
          <w:lang w:eastAsia="hu-HU"/>
        </w:rPr>
        <w:t>stevensii</w:t>
      </w:r>
      <w:proofErr w:type="spellEnd"/>
      <w:r w:rsidR="005E4E8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="005E4E81" w:rsidRPr="005E4E81">
        <w:rPr>
          <w:rFonts w:ascii="Times New Roman" w:eastAsia="Times New Roman" w:hAnsi="Times New Roman"/>
          <w:sz w:val="24"/>
          <w:szCs w:val="24"/>
          <w:lang w:eastAsia="hu-HU"/>
        </w:rPr>
        <w:t>infection</w:t>
      </w:r>
      <w:proofErr w:type="spellEnd"/>
      <w:r w:rsidR="005E4E81" w:rsidRPr="005E4E81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proofErr w:type="spellStart"/>
      <w:r w:rsidR="005E4E81" w:rsidRPr="005E4E81">
        <w:rPr>
          <w:rFonts w:ascii="Times New Roman" w:eastAsia="Times New Roman" w:hAnsi="Times New Roman"/>
          <w:sz w:val="24"/>
          <w:szCs w:val="24"/>
          <w:lang w:eastAsia="hu-HU"/>
        </w:rPr>
        <w:t>Ac</w:t>
      </w:r>
      <w:r w:rsidR="006148BF">
        <w:rPr>
          <w:rFonts w:ascii="Times New Roman" w:eastAsia="Times New Roman" w:hAnsi="Times New Roman"/>
          <w:sz w:val="24"/>
          <w:szCs w:val="24"/>
          <w:lang w:eastAsia="hu-HU"/>
        </w:rPr>
        <w:t>ta</w:t>
      </w:r>
      <w:proofErr w:type="spellEnd"/>
      <w:r w:rsidR="006148B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="006148BF">
        <w:rPr>
          <w:rFonts w:ascii="Times New Roman" w:eastAsia="Times New Roman" w:hAnsi="Times New Roman"/>
          <w:sz w:val="24"/>
          <w:szCs w:val="24"/>
          <w:lang w:eastAsia="hu-HU"/>
        </w:rPr>
        <w:t>Phytopathologia</w:t>
      </w:r>
      <w:proofErr w:type="spellEnd"/>
      <w:r w:rsidR="006148BF">
        <w:rPr>
          <w:rFonts w:ascii="Times New Roman" w:eastAsia="Times New Roman" w:hAnsi="Times New Roman"/>
          <w:sz w:val="24"/>
          <w:szCs w:val="24"/>
          <w:lang w:eastAsia="hu-HU"/>
        </w:rPr>
        <w:t xml:space="preserve"> Hungarica 9.</w:t>
      </w:r>
      <w:r w:rsidR="005E4E81" w:rsidRPr="005E4E81">
        <w:rPr>
          <w:rFonts w:ascii="Times New Roman" w:eastAsia="Times New Roman" w:hAnsi="Times New Roman"/>
          <w:sz w:val="24"/>
          <w:szCs w:val="24"/>
          <w:lang w:eastAsia="hu-HU"/>
        </w:rPr>
        <w:t xml:space="preserve"> 319-327.</w:t>
      </w:r>
    </w:p>
    <w:p w:rsidR="000A08ED" w:rsidRDefault="000A08ED" w:rsidP="00AE75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Mikulás</w:t>
      </w:r>
      <w:r w:rsidR="00AE7539">
        <w:rPr>
          <w:rFonts w:ascii="Times New Roman" w:hAnsi="Times New Roman"/>
          <w:sz w:val="24"/>
          <w:szCs w:val="24"/>
        </w:rPr>
        <w:t xml:space="preserve">, J. 2014. </w:t>
      </w:r>
      <w:r w:rsidRPr="00AB009C">
        <w:rPr>
          <w:rFonts w:ascii="Times New Roman" w:hAnsi="Times New Roman"/>
          <w:sz w:val="24"/>
          <w:szCs w:val="24"/>
        </w:rPr>
        <w:t xml:space="preserve">A szőlőtőkék korai tőkeelhalása. </w:t>
      </w:r>
      <w:proofErr w:type="spellStart"/>
      <w:r w:rsidRPr="00AB009C">
        <w:rPr>
          <w:rFonts w:ascii="Times New Roman" w:hAnsi="Times New Roman"/>
          <w:sz w:val="24"/>
          <w:szCs w:val="24"/>
        </w:rPr>
        <w:t>Agro</w:t>
      </w:r>
      <w:r w:rsidR="006148BF">
        <w:rPr>
          <w:rFonts w:ascii="Times New Roman" w:hAnsi="Times New Roman"/>
          <w:sz w:val="24"/>
          <w:szCs w:val="24"/>
        </w:rPr>
        <w:t>fórum</w:t>
      </w:r>
      <w:proofErr w:type="spellEnd"/>
      <w:r w:rsidR="006148BF">
        <w:rPr>
          <w:rFonts w:ascii="Times New Roman" w:hAnsi="Times New Roman"/>
          <w:sz w:val="24"/>
          <w:szCs w:val="24"/>
        </w:rPr>
        <w:t xml:space="preserve"> 25. 8. 74-81.</w:t>
      </w:r>
    </w:p>
    <w:p w:rsidR="00A63C6D" w:rsidRDefault="000A08ED" w:rsidP="00AE75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spellStart"/>
      <w:r w:rsidRPr="00F402D3">
        <w:rPr>
          <w:rFonts w:ascii="Times New Roman" w:hAnsi="Times New Roman"/>
          <w:sz w:val="24"/>
          <w:szCs w:val="24"/>
          <w:lang w:eastAsia="hu-HU"/>
        </w:rPr>
        <w:t>Mugnai</w:t>
      </w:r>
      <w:proofErr w:type="spellEnd"/>
      <w:r w:rsidRPr="00F402D3">
        <w:rPr>
          <w:rFonts w:ascii="Times New Roman" w:hAnsi="Times New Roman"/>
          <w:sz w:val="24"/>
          <w:szCs w:val="24"/>
          <w:lang w:eastAsia="hu-HU"/>
        </w:rPr>
        <w:t xml:space="preserve"> L., A. </w:t>
      </w:r>
      <w:proofErr w:type="spellStart"/>
      <w:r w:rsidRPr="00F402D3">
        <w:rPr>
          <w:rFonts w:ascii="Times New Roman" w:hAnsi="Times New Roman"/>
          <w:sz w:val="24"/>
          <w:szCs w:val="24"/>
          <w:lang w:eastAsia="hu-HU"/>
        </w:rPr>
        <w:t>Graniti</w:t>
      </w:r>
      <w:proofErr w:type="spellEnd"/>
      <w:r w:rsidRPr="00F402D3">
        <w:rPr>
          <w:rFonts w:ascii="Times New Roman" w:hAnsi="Times New Roman"/>
          <w:sz w:val="24"/>
          <w:szCs w:val="24"/>
          <w:lang w:eastAsia="hu-HU"/>
        </w:rPr>
        <w:t xml:space="preserve"> a</w:t>
      </w:r>
      <w:r>
        <w:rPr>
          <w:rFonts w:ascii="Times New Roman" w:hAnsi="Times New Roman"/>
          <w:sz w:val="24"/>
          <w:szCs w:val="24"/>
          <w:lang w:eastAsia="hu-HU"/>
        </w:rPr>
        <w:t xml:space="preserve">nd G. 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Surico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, 1999. 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Esca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black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F402D3">
        <w:rPr>
          <w:rFonts w:ascii="Times New Roman" w:hAnsi="Times New Roman"/>
          <w:sz w:val="24"/>
          <w:szCs w:val="24"/>
          <w:lang w:eastAsia="hu-HU"/>
        </w:rPr>
        <w:t>measles</w:t>
      </w:r>
      <w:proofErr w:type="spellEnd"/>
      <w:r w:rsidRPr="00F402D3">
        <w:rPr>
          <w:rFonts w:ascii="Times New Roman" w:hAnsi="Times New Roman"/>
          <w:sz w:val="24"/>
          <w:szCs w:val="24"/>
          <w:lang w:eastAsia="hu-HU"/>
        </w:rPr>
        <w:t xml:space="preserve">), and </w:t>
      </w:r>
      <w:proofErr w:type="spellStart"/>
      <w:r w:rsidRPr="00F402D3">
        <w:rPr>
          <w:rFonts w:ascii="Times New Roman" w:hAnsi="Times New Roman"/>
          <w:sz w:val="24"/>
          <w:szCs w:val="24"/>
          <w:lang w:eastAsia="hu-HU"/>
        </w:rPr>
        <w:t>brown</w:t>
      </w:r>
      <w:proofErr w:type="spellEnd"/>
      <w:r w:rsidRPr="00F402D3"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F402D3">
        <w:rPr>
          <w:rFonts w:ascii="Times New Roman" w:hAnsi="Times New Roman"/>
          <w:sz w:val="24"/>
          <w:szCs w:val="24"/>
          <w:lang w:eastAsia="hu-HU"/>
        </w:rPr>
        <w:t>wood</w:t>
      </w:r>
      <w:r>
        <w:rPr>
          <w:rFonts w:ascii="Times New Roman" w:hAnsi="Times New Roman"/>
          <w:sz w:val="24"/>
          <w:szCs w:val="24"/>
          <w:lang w:eastAsia="hu-HU"/>
        </w:rPr>
        <w:t>-streaking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two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old and 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elusive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F402D3">
        <w:rPr>
          <w:rFonts w:ascii="Times New Roman" w:hAnsi="Times New Roman"/>
          <w:sz w:val="24"/>
          <w:szCs w:val="24"/>
          <w:lang w:eastAsia="hu-HU"/>
        </w:rPr>
        <w:t>diseases</w:t>
      </w:r>
      <w:proofErr w:type="spellEnd"/>
      <w:r w:rsidRPr="00F402D3">
        <w:rPr>
          <w:rFonts w:ascii="Times New Roman" w:hAnsi="Times New Roman"/>
          <w:sz w:val="24"/>
          <w:szCs w:val="24"/>
          <w:lang w:eastAsia="hu-HU"/>
        </w:rPr>
        <w:t xml:space="preserve"> of </w:t>
      </w:r>
      <w:proofErr w:type="spellStart"/>
      <w:r w:rsidRPr="00F402D3">
        <w:rPr>
          <w:rFonts w:ascii="Times New Roman" w:hAnsi="Times New Roman"/>
          <w:sz w:val="24"/>
          <w:szCs w:val="24"/>
          <w:lang w:eastAsia="hu-HU"/>
        </w:rPr>
        <w:t>grapevines</w:t>
      </w:r>
      <w:proofErr w:type="spellEnd"/>
      <w:r w:rsidRPr="00F402D3">
        <w:rPr>
          <w:rFonts w:ascii="Times New Roman" w:hAnsi="Times New Roman"/>
          <w:sz w:val="24"/>
          <w:szCs w:val="24"/>
          <w:lang w:eastAsia="hu-HU"/>
        </w:rPr>
        <w:t xml:space="preserve">. </w:t>
      </w:r>
      <w:proofErr w:type="spellStart"/>
      <w:r w:rsidRPr="0019046E">
        <w:rPr>
          <w:rFonts w:ascii="Times New Roman" w:hAnsi="Times New Roman"/>
          <w:iCs/>
          <w:sz w:val="24"/>
          <w:szCs w:val="24"/>
          <w:lang w:eastAsia="hu-HU"/>
        </w:rPr>
        <w:t>Plant</w:t>
      </w:r>
      <w:proofErr w:type="spellEnd"/>
      <w:r w:rsidRPr="0019046E">
        <w:rPr>
          <w:rFonts w:ascii="Times New Roman" w:hAnsi="Times New Roman"/>
          <w:iCs/>
          <w:sz w:val="24"/>
          <w:szCs w:val="24"/>
          <w:lang w:eastAsia="hu-HU"/>
        </w:rPr>
        <w:t xml:space="preserve"> </w:t>
      </w:r>
      <w:proofErr w:type="spellStart"/>
      <w:r w:rsidRPr="0019046E">
        <w:rPr>
          <w:rFonts w:ascii="Times New Roman" w:hAnsi="Times New Roman"/>
          <w:iCs/>
          <w:sz w:val="24"/>
          <w:szCs w:val="24"/>
          <w:lang w:eastAsia="hu-HU"/>
        </w:rPr>
        <w:t>Disease</w:t>
      </w:r>
      <w:proofErr w:type="spellEnd"/>
      <w:r w:rsidRPr="00F402D3">
        <w:rPr>
          <w:rFonts w:ascii="Times New Roman" w:hAnsi="Times New Roman"/>
          <w:sz w:val="24"/>
          <w:szCs w:val="24"/>
          <w:lang w:eastAsia="hu-HU"/>
        </w:rPr>
        <w:t xml:space="preserve"> 83</w:t>
      </w:r>
      <w:r w:rsidR="006148BF">
        <w:rPr>
          <w:rFonts w:ascii="Times New Roman" w:hAnsi="Times New Roman"/>
          <w:sz w:val="24"/>
          <w:szCs w:val="24"/>
          <w:lang w:eastAsia="hu-HU"/>
        </w:rPr>
        <w:t>.</w:t>
      </w:r>
      <w:r w:rsidRPr="00F402D3">
        <w:rPr>
          <w:rFonts w:ascii="Times New Roman" w:hAnsi="Times New Roman"/>
          <w:sz w:val="24"/>
          <w:szCs w:val="24"/>
          <w:lang w:eastAsia="hu-HU"/>
        </w:rPr>
        <w:t xml:space="preserve"> 288-301.</w:t>
      </w:r>
      <w:r w:rsidR="00A63C6D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152EC1" w:rsidRPr="00EE5CCB" w:rsidRDefault="00152EC1" w:rsidP="00AE75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eastAsia="hu-HU"/>
        </w:rPr>
        <w:t>Munoz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>, R.</w:t>
      </w:r>
      <w:r w:rsidR="006148BF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 xml:space="preserve">M., 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Lerm</w:t>
      </w:r>
      <w:r w:rsidR="00AE7539">
        <w:rPr>
          <w:rFonts w:ascii="Times New Roman" w:hAnsi="Times New Roman"/>
          <w:sz w:val="24"/>
          <w:szCs w:val="24"/>
          <w:lang w:eastAsia="hu-HU"/>
        </w:rPr>
        <w:t>a</w:t>
      </w:r>
      <w:proofErr w:type="spellEnd"/>
      <w:r w:rsidR="00AE7539">
        <w:rPr>
          <w:rFonts w:ascii="Times New Roman" w:hAnsi="Times New Roman"/>
          <w:sz w:val="24"/>
          <w:szCs w:val="24"/>
          <w:lang w:eastAsia="hu-HU"/>
        </w:rPr>
        <w:t xml:space="preserve">, M.L. and </w:t>
      </w:r>
      <w:proofErr w:type="spellStart"/>
      <w:r w:rsidR="00AE7539">
        <w:rPr>
          <w:rFonts w:ascii="Times New Roman" w:hAnsi="Times New Roman"/>
          <w:sz w:val="24"/>
          <w:szCs w:val="24"/>
          <w:lang w:eastAsia="hu-HU"/>
        </w:rPr>
        <w:t>Castillo</w:t>
      </w:r>
      <w:proofErr w:type="spellEnd"/>
      <w:r w:rsidR="00AE7539">
        <w:rPr>
          <w:rFonts w:ascii="Times New Roman" w:hAnsi="Times New Roman"/>
          <w:sz w:val="24"/>
          <w:szCs w:val="24"/>
          <w:lang w:eastAsia="hu-HU"/>
        </w:rPr>
        <w:t>, P. 2012.</w:t>
      </w:r>
      <w:r>
        <w:rPr>
          <w:rFonts w:ascii="Times New Roman" w:hAnsi="Times New Roman"/>
          <w:sz w:val="24"/>
          <w:szCs w:val="24"/>
          <w:lang w:eastAsia="hu-HU"/>
        </w:rPr>
        <w:t xml:space="preserve"> Monitoring 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symptoms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fungal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trunk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diseases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in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vineyard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in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Manchuela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(Spain): 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six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year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study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. </w:t>
      </w:r>
      <w:proofErr w:type="spellStart"/>
      <w:r w:rsidR="00EE5CCB" w:rsidRPr="0019046E">
        <w:rPr>
          <w:rFonts w:ascii="Times New Roman" w:hAnsi="Times New Roman"/>
          <w:sz w:val="24"/>
          <w:szCs w:val="24"/>
        </w:rPr>
        <w:t>Phytopathologia</w:t>
      </w:r>
      <w:proofErr w:type="spellEnd"/>
      <w:r w:rsidR="00EE5CCB" w:rsidRPr="001904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5CCB" w:rsidRPr="0019046E">
        <w:rPr>
          <w:rFonts w:ascii="Times New Roman" w:hAnsi="Times New Roman"/>
          <w:sz w:val="24"/>
          <w:szCs w:val="24"/>
        </w:rPr>
        <w:t>Mediterranea</w:t>
      </w:r>
      <w:proofErr w:type="spellEnd"/>
      <w:r w:rsidR="00EE5CCB" w:rsidRPr="0019046E">
        <w:rPr>
          <w:rFonts w:ascii="Times New Roman" w:hAnsi="Times New Roman"/>
          <w:sz w:val="24"/>
          <w:szCs w:val="24"/>
        </w:rPr>
        <w:t xml:space="preserve"> </w:t>
      </w:r>
      <w:r w:rsidR="006148BF">
        <w:rPr>
          <w:rFonts w:ascii="Times New Roman" w:hAnsi="Times New Roman"/>
          <w:sz w:val="24"/>
          <w:szCs w:val="24"/>
        </w:rPr>
        <w:t>51.</w:t>
      </w:r>
      <w:r w:rsidR="00EE5CCB" w:rsidRPr="00815CEE">
        <w:rPr>
          <w:rFonts w:ascii="Times New Roman" w:hAnsi="Times New Roman"/>
          <w:sz w:val="24"/>
          <w:szCs w:val="24"/>
        </w:rPr>
        <w:t xml:space="preserve"> 2</w:t>
      </w:r>
      <w:r w:rsidR="006148BF">
        <w:rPr>
          <w:rFonts w:ascii="Times New Roman" w:hAnsi="Times New Roman"/>
          <w:sz w:val="24"/>
          <w:szCs w:val="24"/>
        </w:rPr>
        <w:t>.</w:t>
      </w:r>
      <w:r w:rsidR="00EE5CCB" w:rsidRPr="00815CEE">
        <w:rPr>
          <w:rFonts w:ascii="Times New Roman" w:hAnsi="Times New Roman"/>
          <w:sz w:val="24"/>
          <w:szCs w:val="24"/>
        </w:rPr>
        <w:t xml:space="preserve"> 410-452.</w:t>
      </w:r>
    </w:p>
    <w:p w:rsidR="00B4477F" w:rsidRDefault="000A08ED" w:rsidP="00AE75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3E53">
        <w:rPr>
          <w:rFonts w:ascii="Times New Roman" w:hAnsi="Times New Roman"/>
          <w:sz w:val="24"/>
          <w:szCs w:val="24"/>
        </w:rPr>
        <w:t>Pouzoulet</w:t>
      </w:r>
      <w:proofErr w:type="spellEnd"/>
      <w:r w:rsidRPr="007E3E53">
        <w:rPr>
          <w:rFonts w:ascii="Times New Roman" w:hAnsi="Times New Roman"/>
          <w:sz w:val="24"/>
          <w:szCs w:val="24"/>
        </w:rPr>
        <w:t>, J</w:t>
      </w:r>
      <w:proofErr w:type="gramStart"/>
      <w:r w:rsidRPr="007E3E53">
        <w:rPr>
          <w:rFonts w:ascii="Times New Roman" w:hAnsi="Times New Roman"/>
          <w:sz w:val="24"/>
          <w:szCs w:val="24"/>
        </w:rPr>
        <w:t>.,</w:t>
      </w:r>
      <w:proofErr w:type="gramEnd"/>
      <w:r w:rsidRPr="007E3E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E53">
        <w:rPr>
          <w:rFonts w:ascii="Times New Roman" w:hAnsi="Times New Roman"/>
          <w:sz w:val="24"/>
          <w:szCs w:val="24"/>
        </w:rPr>
        <w:t>Pivovaroff</w:t>
      </w:r>
      <w:proofErr w:type="spellEnd"/>
      <w:r w:rsidRPr="007E3E53">
        <w:rPr>
          <w:rFonts w:ascii="Times New Roman" w:hAnsi="Times New Roman"/>
          <w:sz w:val="24"/>
          <w:szCs w:val="24"/>
        </w:rPr>
        <w:t xml:space="preserve">, A., L., Santiago, L., S. and </w:t>
      </w:r>
      <w:proofErr w:type="spellStart"/>
      <w:r w:rsidRPr="007E3E53">
        <w:rPr>
          <w:rFonts w:ascii="Times New Roman" w:hAnsi="Times New Roman"/>
          <w:sz w:val="24"/>
          <w:szCs w:val="24"/>
        </w:rPr>
        <w:t>Rolshausen</w:t>
      </w:r>
      <w:proofErr w:type="spellEnd"/>
      <w:r w:rsidRPr="007E3E53">
        <w:rPr>
          <w:rFonts w:ascii="Times New Roman" w:hAnsi="Times New Roman"/>
          <w:sz w:val="24"/>
          <w:szCs w:val="24"/>
        </w:rPr>
        <w:t xml:space="preserve"> P., E</w:t>
      </w:r>
      <w:r w:rsidR="00AE7539">
        <w:rPr>
          <w:rFonts w:ascii="Times New Roman" w:hAnsi="Times New Roman"/>
          <w:sz w:val="24"/>
          <w:szCs w:val="24"/>
        </w:rPr>
        <w:t>. 2014.</w:t>
      </w:r>
      <w:r w:rsidRPr="00AB00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009C">
        <w:rPr>
          <w:rFonts w:ascii="Times New Roman" w:hAnsi="Times New Roman"/>
          <w:sz w:val="24"/>
          <w:szCs w:val="24"/>
        </w:rPr>
        <w:t>Can</w:t>
      </w:r>
      <w:proofErr w:type="spellEnd"/>
      <w:r w:rsidRPr="00AB00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009C">
        <w:rPr>
          <w:rFonts w:ascii="Times New Roman" w:hAnsi="Times New Roman"/>
          <w:sz w:val="24"/>
          <w:szCs w:val="24"/>
        </w:rPr>
        <w:t>vessel</w:t>
      </w:r>
      <w:proofErr w:type="spellEnd"/>
      <w:r w:rsidRPr="00AB00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55B">
        <w:rPr>
          <w:rFonts w:ascii="Times New Roman" w:hAnsi="Times New Roman"/>
          <w:sz w:val="24"/>
          <w:szCs w:val="24"/>
        </w:rPr>
        <w:t>dimension</w:t>
      </w:r>
      <w:proofErr w:type="spellEnd"/>
      <w:r w:rsidRPr="00DD35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55B">
        <w:rPr>
          <w:rFonts w:ascii="Times New Roman" w:hAnsi="Times New Roman"/>
          <w:sz w:val="24"/>
          <w:szCs w:val="24"/>
        </w:rPr>
        <w:t>explain</w:t>
      </w:r>
      <w:proofErr w:type="spellEnd"/>
      <w:r w:rsidRPr="00DD35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55B">
        <w:rPr>
          <w:rFonts w:ascii="Times New Roman" w:hAnsi="Times New Roman"/>
          <w:sz w:val="24"/>
          <w:szCs w:val="24"/>
        </w:rPr>
        <w:t>tolerance</w:t>
      </w:r>
      <w:proofErr w:type="spellEnd"/>
      <w:r w:rsidRPr="00DD35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55B">
        <w:rPr>
          <w:rFonts w:ascii="Times New Roman" w:hAnsi="Times New Roman"/>
          <w:sz w:val="24"/>
          <w:szCs w:val="24"/>
        </w:rPr>
        <w:t>toward</w:t>
      </w:r>
      <w:proofErr w:type="spellEnd"/>
      <w:r w:rsidRPr="00DD35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55B">
        <w:rPr>
          <w:rFonts w:ascii="Times New Roman" w:hAnsi="Times New Roman"/>
          <w:sz w:val="24"/>
          <w:szCs w:val="24"/>
        </w:rPr>
        <w:t>fungal</w:t>
      </w:r>
      <w:proofErr w:type="spellEnd"/>
      <w:r w:rsidRPr="00DD35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55B">
        <w:rPr>
          <w:rFonts w:ascii="Times New Roman" w:hAnsi="Times New Roman"/>
          <w:sz w:val="24"/>
          <w:szCs w:val="24"/>
        </w:rPr>
        <w:t>vascular</w:t>
      </w:r>
      <w:proofErr w:type="spellEnd"/>
      <w:r w:rsidRPr="00DD35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55B">
        <w:rPr>
          <w:rFonts w:ascii="Times New Roman" w:hAnsi="Times New Roman"/>
          <w:sz w:val="24"/>
          <w:szCs w:val="24"/>
        </w:rPr>
        <w:t>wilt</w:t>
      </w:r>
      <w:proofErr w:type="spellEnd"/>
      <w:r w:rsidRPr="00DD35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55B">
        <w:rPr>
          <w:rFonts w:ascii="Times New Roman" w:hAnsi="Times New Roman"/>
          <w:sz w:val="24"/>
          <w:szCs w:val="24"/>
        </w:rPr>
        <w:t>diseases</w:t>
      </w:r>
      <w:proofErr w:type="spellEnd"/>
      <w:r w:rsidRPr="00DD35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55B">
        <w:rPr>
          <w:rFonts w:ascii="Times New Roman" w:hAnsi="Times New Roman"/>
          <w:sz w:val="24"/>
          <w:szCs w:val="24"/>
        </w:rPr>
        <w:t>in</w:t>
      </w:r>
      <w:proofErr w:type="spellEnd"/>
      <w:r w:rsidRPr="00DD35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55B">
        <w:rPr>
          <w:rFonts w:ascii="Times New Roman" w:hAnsi="Times New Roman"/>
          <w:sz w:val="24"/>
          <w:szCs w:val="24"/>
        </w:rPr>
        <w:t>woody</w:t>
      </w:r>
      <w:proofErr w:type="spellEnd"/>
      <w:r w:rsidRPr="00DD35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55B">
        <w:rPr>
          <w:rFonts w:ascii="Times New Roman" w:hAnsi="Times New Roman"/>
          <w:sz w:val="24"/>
          <w:szCs w:val="24"/>
        </w:rPr>
        <w:t>plants</w:t>
      </w:r>
      <w:proofErr w:type="spellEnd"/>
      <w:r w:rsidRPr="00DD355B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AB009C">
        <w:rPr>
          <w:rFonts w:ascii="Times New Roman" w:hAnsi="Times New Roman"/>
          <w:sz w:val="24"/>
          <w:szCs w:val="24"/>
        </w:rPr>
        <w:t>Frontiers</w:t>
      </w:r>
      <w:proofErr w:type="spellEnd"/>
      <w:r w:rsidRPr="00AB00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009C">
        <w:rPr>
          <w:rFonts w:ascii="Times New Roman" w:hAnsi="Times New Roman"/>
          <w:sz w:val="24"/>
          <w:szCs w:val="24"/>
        </w:rPr>
        <w:t>in</w:t>
      </w:r>
      <w:proofErr w:type="spellEnd"/>
      <w:r w:rsidRPr="00AB00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009C">
        <w:rPr>
          <w:rFonts w:ascii="Times New Roman" w:hAnsi="Times New Roman"/>
          <w:sz w:val="24"/>
          <w:szCs w:val="24"/>
        </w:rPr>
        <w:t>Plant</w:t>
      </w:r>
      <w:proofErr w:type="spellEnd"/>
      <w:r w:rsidRPr="00AB009C">
        <w:rPr>
          <w:rFonts w:ascii="Times New Roman" w:hAnsi="Times New Roman"/>
          <w:sz w:val="24"/>
          <w:szCs w:val="24"/>
        </w:rPr>
        <w:t xml:space="preserve"> Scie</w:t>
      </w:r>
      <w:r w:rsidR="006148BF">
        <w:rPr>
          <w:rFonts w:ascii="Times New Roman" w:hAnsi="Times New Roman"/>
          <w:sz w:val="24"/>
          <w:szCs w:val="24"/>
        </w:rPr>
        <w:t xml:space="preserve">nce </w:t>
      </w:r>
      <w:proofErr w:type="spellStart"/>
      <w:r w:rsidR="006148BF">
        <w:rPr>
          <w:rFonts w:ascii="Times New Roman" w:hAnsi="Times New Roman"/>
          <w:sz w:val="24"/>
          <w:szCs w:val="24"/>
        </w:rPr>
        <w:t>Plant</w:t>
      </w:r>
      <w:proofErr w:type="spellEnd"/>
      <w:r w:rsidR="00614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48BF">
        <w:rPr>
          <w:rFonts w:ascii="Times New Roman" w:hAnsi="Times New Roman"/>
          <w:sz w:val="24"/>
          <w:szCs w:val="24"/>
        </w:rPr>
        <w:t>Physiology</w:t>
      </w:r>
      <w:proofErr w:type="spellEnd"/>
      <w:r w:rsidR="006148BF">
        <w:rPr>
          <w:rFonts w:ascii="Times New Roman" w:hAnsi="Times New Roman"/>
          <w:sz w:val="24"/>
          <w:szCs w:val="24"/>
        </w:rPr>
        <w:t xml:space="preserve"> 2014 </w:t>
      </w:r>
      <w:proofErr w:type="spellStart"/>
      <w:r w:rsidR="006148BF">
        <w:rPr>
          <w:rFonts w:ascii="Times New Roman" w:hAnsi="Times New Roman"/>
          <w:sz w:val="24"/>
          <w:szCs w:val="24"/>
        </w:rPr>
        <w:t>June</w:t>
      </w:r>
      <w:proofErr w:type="spellEnd"/>
      <w:r w:rsidR="006148BF">
        <w:rPr>
          <w:rFonts w:ascii="Times New Roman" w:hAnsi="Times New Roman"/>
          <w:sz w:val="24"/>
          <w:szCs w:val="24"/>
        </w:rPr>
        <w:t>,</w:t>
      </w:r>
      <w:r w:rsidR="00593CC5">
        <w:rPr>
          <w:rFonts w:ascii="Times New Roman" w:hAnsi="Times New Roman"/>
          <w:sz w:val="24"/>
          <w:szCs w:val="24"/>
        </w:rPr>
        <w:t xml:space="preserve"> </w:t>
      </w:r>
      <w:r w:rsidRPr="00AB009C">
        <w:rPr>
          <w:rFonts w:ascii="Times New Roman" w:hAnsi="Times New Roman"/>
          <w:sz w:val="24"/>
          <w:szCs w:val="24"/>
        </w:rPr>
        <w:t>5</w:t>
      </w:r>
      <w:r w:rsidR="006148BF">
        <w:rPr>
          <w:rFonts w:ascii="Times New Roman" w:hAnsi="Times New Roman"/>
          <w:sz w:val="24"/>
          <w:szCs w:val="24"/>
        </w:rPr>
        <w:t>.</w:t>
      </w:r>
      <w:r w:rsidRPr="00AB00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009C">
        <w:rPr>
          <w:rFonts w:ascii="Times New Roman" w:hAnsi="Times New Roman"/>
          <w:sz w:val="24"/>
          <w:szCs w:val="24"/>
        </w:rPr>
        <w:t>Article</w:t>
      </w:r>
      <w:proofErr w:type="spellEnd"/>
      <w:r w:rsidRPr="00AB009C">
        <w:rPr>
          <w:rFonts w:ascii="Times New Roman" w:hAnsi="Times New Roman"/>
          <w:sz w:val="24"/>
          <w:szCs w:val="24"/>
        </w:rPr>
        <w:t xml:space="preserve"> 253</w:t>
      </w:r>
    </w:p>
    <w:p w:rsidR="00AB009C" w:rsidRPr="00AB009C" w:rsidRDefault="00670060" w:rsidP="00AE75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spellStart"/>
      <w:r w:rsidRPr="00B4477F">
        <w:rPr>
          <w:rFonts w:ascii="Times New Roman" w:hAnsi="Times New Roman"/>
          <w:sz w:val="24"/>
          <w:szCs w:val="24"/>
          <w:lang w:eastAsia="hu-HU"/>
        </w:rPr>
        <w:t>Surico</w:t>
      </w:r>
      <w:proofErr w:type="spellEnd"/>
      <w:r w:rsidRPr="00B4477F">
        <w:rPr>
          <w:rFonts w:ascii="Times New Roman" w:hAnsi="Times New Roman"/>
          <w:sz w:val="24"/>
          <w:szCs w:val="24"/>
          <w:lang w:eastAsia="hu-HU"/>
        </w:rPr>
        <w:t xml:space="preserve"> G</w:t>
      </w:r>
      <w:proofErr w:type="gramStart"/>
      <w:r w:rsidRPr="00B4477F">
        <w:rPr>
          <w:rFonts w:ascii="Times New Roman" w:hAnsi="Times New Roman"/>
          <w:sz w:val="24"/>
          <w:szCs w:val="24"/>
          <w:lang w:eastAsia="hu-HU"/>
        </w:rPr>
        <w:t>.,</w:t>
      </w:r>
      <w:proofErr w:type="gramEnd"/>
      <w:r w:rsidRPr="00B4477F">
        <w:rPr>
          <w:rFonts w:ascii="Times New Roman" w:hAnsi="Times New Roman"/>
          <w:sz w:val="24"/>
          <w:szCs w:val="24"/>
          <w:lang w:eastAsia="hu-HU"/>
        </w:rPr>
        <w:t xml:space="preserve"> G. </w:t>
      </w:r>
      <w:proofErr w:type="spellStart"/>
      <w:r w:rsidRPr="00B4477F">
        <w:rPr>
          <w:rFonts w:ascii="Times New Roman" w:hAnsi="Times New Roman"/>
          <w:sz w:val="24"/>
          <w:szCs w:val="24"/>
          <w:lang w:eastAsia="hu-HU"/>
        </w:rPr>
        <w:t>Marchi</w:t>
      </w:r>
      <w:proofErr w:type="spellEnd"/>
      <w:r w:rsidRPr="00B4477F">
        <w:rPr>
          <w:rFonts w:ascii="Times New Roman" w:hAnsi="Times New Roman"/>
          <w:sz w:val="24"/>
          <w:szCs w:val="24"/>
          <w:lang w:eastAsia="hu-HU"/>
        </w:rPr>
        <w:t>, F</w:t>
      </w:r>
      <w:proofErr w:type="gramStart"/>
      <w:r w:rsidRPr="00B4477F">
        <w:rPr>
          <w:rFonts w:ascii="Times New Roman" w:hAnsi="Times New Roman"/>
          <w:sz w:val="24"/>
          <w:szCs w:val="24"/>
          <w:lang w:eastAsia="hu-HU"/>
        </w:rPr>
        <w:t>.J</w:t>
      </w:r>
      <w:proofErr w:type="gramEnd"/>
      <w:r w:rsidRPr="00B4477F">
        <w:rPr>
          <w:rFonts w:ascii="Times New Roman" w:hAnsi="Times New Roman"/>
          <w:sz w:val="24"/>
          <w:szCs w:val="24"/>
          <w:lang w:eastAsia="hu-HU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Ferrandino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, P. </w:t>
      </w:r>
      <w:proofErr w:type="spellStart"/>
      <w:r w:rsidR="00AE7539">
        <w:rPr>
          <w:rFonts w:ascii="Times New Roman" w:hAnsi="Times New Roman"/>
          <w:sz w:val="24"/>
          <w:szCs w:val="24"/>
          <w:lang w:eastAsia="hu-HU"/>
        </w:rPr>
        <w:t>Braccini</w:t>
      </w:r>
      <w:proofErr w:type="spellEnd"/>
      <w:r w:rsidR="00AE7539">
        <w:rPr>
          <w:rFonts w:ascii="Times New Roman" w:hAnsi="Times New Roman"/>
          <w:sz w:val="24"/>
          <w:szCs w:val="24"/>
          <w:lang w:eastAsia="hu-HU"/>
        </w:rPr>
        <w:t xml:space="preserve">, and L. </w:t>
      </w:r>
      <w:proofErr w:type="spellStart"/>
      <w:r w:rsidR="00AE7539">
        <w:rPr>
          <w:rFonts w:ascii="Times New Roman" w:hAnsi="Times New Roman"/>
          <w:sz w:val="24"/>
          <w:szCs w:val="24"/>
          <w:lang w:eastAsia="hu-HU"/>
        </w:rPr>
        <w:t>Mugnai</w:t>
      </w:r>
      <w:proofErr w:type="spellEnd"/>
      <w:r w:rsidR="00AE7539">
        <w:rPr>
          <w:rFonts w:ascii="Times New Roman" w:hAnsi="Times New Roman"/>
          <w:sz w:val="24"/>
          <w:szCs w:val="24"/>
          <w:lang w:eastAsia="hu-HU"/>
        </w:rPr>
        <w:t>, 2000.</w:t>
      </w:r>
      <w:r w:rsidRPr="00B4477F"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B4477F">
        <w:rPr>
          <w:rFonts w:ascii="Times New Roman" w:hAnsi="Times New Roman"/>
          <w:sz w:val="24"/>
          <w:szCs w:val="24"/>
          <w:lang w:eastAsia="hu-HU"/>
        </w:rPr>
        <w:t>Analysi</w:t>
      </w:r>
      <w:r>
        <w:rPr>
          <w:rFonts w:ascii="Times New Roman" w:hAnsi="Times New Roman"/>
          <w:sz w:val="24"/>
          <w:szCs w:val="24"/>
          <w:lang w:eastAsia="hu-HU"/>
        </w:rPr>
        <w:t>s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the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spatial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spread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esca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B4477F">
        <w:rPr>
          <w:rFonts w:ascii="Times New Roman" w:hAnsi="Times New Roman"/>
          <w:sz w:val="24"/>
          <w:szCs w:val="24"/>
          <w:lang w:eastAsia="hu-HU"/>
        </w:rPr>
        <w:t>in</w:t>
      </w:r>
      <w:proofErr w:type="spellEnd"/>
      <w:r w:rsidRPr="00B4477F"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B4477F">
        <w:rPr>
          <w:rFonts w:ascii="Times New Roman" w:hAnsi="Times New Roman"/>
          <w:sz w:val="24"/>
          <w:szCs w:val="24"/>
          <w:lang w:eastAsia="hu-HU"/>
        </w:rPr>
        <w:t>some</w:t>
      </w:r>
      <w:proofErr w:type="spellEnd"/>
      <w:r w:rsidRPr="00B4477F"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B4477F">
        <w:rPr>
          <w:rFonts w:ascii="Times New Roman" w:hAnsi="Times New Roman"/>
          <w:sz w:val="24"/>
          <w:szCs w:val="24"/>
          <w:lang w:eastAsia="hu-HU"/>
        </w:rPr>
        <w:t>Tuscan</w:t>
      </w:r>
      <w:proofErr w:type="spellEnd"/>
      <w:r w:rsidRPr="00B4477F"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B4477F">
        <w:rPr>
          <w:rFonts w:ascii="Times New Roman" w:hAnsi="Times New Roman"/>
          <w:sz w:val="24"/>
          <w:szCs w:val="24"/>
          <w:lang w:eastAsia="hu-HU"/>
        </w:rPr>
        <w:t>vineyards</w:t>
      </w:r>
      <w:proofErr w:type="spellEnd"/>
      <w:r w:rsidRPr="00B4477F">
        <w:rPr>
          <w:rFonts w:ascii="Times New Roman" w:hAnsi="Times New Roman"/>
          <w:sz w:val="24"/>
          <w:szCs w:val="24"/>
          <w:lang w:eastAsia="hu-HU"/>
        </w:rPr>
        <w:t xml:space="preserve"> (</w:t>
      </w:r>
      <w:proofErr w:type="spellStart"/>
      <w:r w:rsidRPr="00B4477F">
        <w:rPr>
          <w:rFonts w:ascii="Times New Roman" w:hAnsi="Times New Roman"/>
          <w:sz w:val="24"/>
          <w:szCs w:val="24"/>
          <w:lang w:eastAsia="hu-HU"/>
        </w:rPr>
        <w:t>Italy</w:t>
      </w:r>
      <w:proofErr w:type="spellEnd"/>
      <w:r w:rsidRPr="00B4477F">
        <w:rPr>
          <w:rFonts w:ascii="Times New Roman" w:hAnsi="Times New Roman"/>
          <w:sz w:val="24"/>
          <w:szCs w:val="24"/>
          <w:lang w:eastAsia="hu-HU"/>
        </w:rPr>
        <w:t xml:space="preserve">). </w:t>
      </w:r>
      <w:proofErr w:type="spellStart"/>
      <w:r w:rsidRPr="0019046E">
        <w:rPr>
          <w:rFonts w:ascii="Times New Roman" w:hAnsi="Times New Roman"/>
          <w:iCs/>
          <w:sz w:val="24"/>
          <w:szCs w:val="24"/>
          <w:lang w:eastAsia="hu-HU"/>
        </w:rPr>
        <w:t>Phytopathologia</w:t>
      </w:r>
      <w:proofErr w:type="spellEnd"/>
      <w:r w:rsidRPr="0019046E">
        <w:rPr>
          <w:rFonts w:ascii="Times New Roman" w:hAnsi="Times New Roman"/>
          <w:iCs/>
          <w:sz w:val="24"/>
          <w:szCs w:val="24"/>
          <w:lang w:eastAsia="hu-HU"/>
        </w:rPr>
        <w:t xml:space="preserve"> </w:t>
      </w:r>
      <w:proofErr w:type="spellStart"/>
      <w:r w:rsidRPr="0019046E">
        <w:rPr>
          <w:rFonts w:ascii="Times New Roman" w:hAnsi="Times New Roman"/>
          <w:iCs/>
          <w:sz w:val="24"/>
          <w:szCs w:val="24"/>
          <w:lang w:eastAsia="hu-HU"/>
        </w:rPr>
        <w:t>Mediterranea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B4477F">
        <w:rPr>
          <w:rFonts w:ascii="Times New Roman" w:hAnsi="Times New Roman"/>
          <w:sz w:val="24"/>
          <w:szCs w:val="24"/>
          <w:lang w:eastAsia="hu-HU"/>
        </w:rPr>
        <w:t>39</w:t>
      </w:r>
      <w:r w:rsidR="006148BF">
        <w:rPr>
          <w:rFonts w:ascii="Times New Roman" w:hAnsi="Times New Roman"/>
          <w:sz w:val="24"/>
          <w:szCs w:val="24"/>
          <w:lang w:eastAsia="hu-HU"/>
        </w:rPr>
        <w:t>.</w:t>
      </w:r>
      <w:r w:rsidRPr="00B4477F">
        <w:rPr>
          <w:rFonts w:ascii="Times New Roman" w:hAnsi="Times New Roman"/>
          <w:sz w:val="24"/>
          <w:szCs w:val="24"/>
          <w:lang w:eastAsia="hu-HU"/>
        </w:rPr>
        <w:t xml:space="preserve"> 211–224.</w:t>
      </w:r>
    </w:p>
    <w:sectPr w:rsidR="00AB009C" w:rsidRPr="00AB009C" w:rsidSect="000A08ED">
      <w:pgSz w:w="11906" w:h="16838"/>
      <w:pgMar w:top="1418" w:right="1106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C48D8"/>
    <w:multiLevelType w:val="hybridMultilevel"/>
    <w:tmpl w:val="2F0E7858"/>
    <w:lvl w:ilvl="0" w:tplc="57A0FF0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F96A65"/>
    <w:multiLevelType w:val="hybridMultilevel"/>
    <w:tmpl w:val="192C2724"/>
    <w:lvl w:ilvl="0" w:tplc="57A0FF0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D6E4348"/>
    <w:multiLevelType w:val="hybridMultilevel"/>
    <w:tmpl w:val="8300FD78"/>
    <w:lvl w:ilvl="0" w:tplc="57A0FF0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1C11032"/>
    <w:multiLevelType w:val="hybridMultilevel"/>
    <w:tmpl w:val="2A242BEE"/>
    <w:lvl w:ilvl="0" w:tplc="D222E30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5D215AA"/>
    <w:multiLevelType w:val="hybridMultilevel"/>
    <w:tmpl w:val="CFFE045A"/>
    <w:lvl w:ilvl="0" w:tplc="7F9ACE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626B3"/>
    <w:multiLevelType w:val="hybridMultilevel"/>
    <w:tmpl w:val="121E7038"/>
    <w:lvl w:ilvl="0" w:tplc="57A0FF0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24D655B"/>
    <w:multiLevelType w:val="hybridMultilevel"/>
    <w:tmpl w:val="C3A66404"/>
    <w:lvl w:ilvl="0" w:tplc="57A0FF0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BB7095C"/>
    <w:multiLevelType w:val="hybridMultilevel"/>
    <w:tmpl w:val="762AAE3C"/>
    <w:lvl w:ilvl="0" w:tplc="57A0FF0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C6A6E8E"/>
    <w:multiLevelType w:val="hybridMultilevel"/>
    <w:tmpl w:val="671E4FEA"/>
    <w:lvl w:ilvl="0" w:tplc="42A2B666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8CE21ED"/>
    <w:multiLevelType w:val="hybridMultilevel"/>
    <w:tmpl w:val="D58CF1F2"/>
    <w:lvl w:ilvl="0" w:tplc="57A0FF0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3685498"/>
    <w:multiLevelType w:val="hybridMultilevel"/>
    <w:tmpl w:val="EED04EAA"/>
    <w:lvl w:ilvl="0" w:tplc="57A0FF0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E784EBD"/>
    <w:multiLevelType w:val="hybridMultilevel"/>
    <w:tmpl w:val="683E7770"/>
    <w:lvl w:ilvl="0" w:tplc="739236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269ED"/>
    <w:multiLevelType w:val="hybridMultilevel"/>
    <w:tmpl w:val="1F28B654"/>
    <w:lvl w:ilvl="0" w:tplc="57A0FF0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5B01F9D"/>
    <w:multiLevelType w:val="hybridMultilevel"/>
    <w:tmpl w:val="5AA6EE3A"/>
    <w:lvl w:ilvl="0" w:tplc="57A0FF0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62C45F6"/>
    <w:multiLevelType w:val="hybridMultilevel"/>
    <w:tmpl w:val="780017D0"/>
    <w:lvl w:ilvl="0" w:tplc="57A0FF0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1"/>
  </w:num>
  <w:num w:numId="5">
    <w:abstractNumId w:val="0"/>
  </w:num>
  <w:num w:numId="6">
    <w:abstractNumId w:val="5"/>
  </w:num>
  <w:num w:numId="7">
    <w:abstractNumId w:val="14"/>
  </w:num>
  <w:num w:numId="8">
    <w:abstractNumId w:val="10"/>
  </w:num>
  <w:num w:numId="9">
    <w:abstractNumId w:val="7"/>
  </w:num>
  <w:num w:numId="10">
    <w:abstractNumId w:val="1"/>
  </w:num>
  <w:num w:numId="11">
    <w:abstractNumId w:val="6"/>
  </w:num>
  <w:num w:numId="12">
    <w:abstractNumId w:val="2"/>
  </w:num>
  <w:num w:numId="13">
    <w:abstractNumId w:val="12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0F"/>
    <w:rsid w:val="00011ACB"/>
    <w:rsid w:val="00013BF0"/>
    <w:rsid w:val="000323DE"/>
    <w:rsid w:val="0003739F"/>
    <w:rsid w:val="00042C92"/>
    <w:rsid w:val="0004512D"/>
    <w:rsid w:val="00053A48"/>
    <w:rsid w:val="00057761"/>
    <w:rsid w:val="000608CC"/>
    <w:rsid w:val="00060947"/>
    <w:rsid w:val="00066763"/>
    <w:rsid w:val="0006694C"/>
    <w:rsid w:val="00073D42"/>
    <w:rsid w:val="00083B23"/>
    <w:rsid w:val="00084430"/>
    <w:rsid w:val="00085B2A"/>
    <w:rsid w:val="000923B0"/>
    <w:rsid w:val="000A08ED"/>
    <w:rsid w:val="000A230D"/>
    <w:rsid w:val="000B0079"/>
    <w:rsid w:val="000B28E4"/>
    <w:rsid w:val="000C376E"/>
    <w:rsid w:val="000D0A7C"/>
    <w:rsid w:val="000F1391"/>
    <w:rsid w:val="00104C34"/>
    <w:rsid w:val="0010579C"/>
    <w:rsid w:val="00106887"/>
    <w:rsid w:val="001070C5"/>
    <w:rsid w:val="00112EEA"/>
    <w:rsid w:val="00126A38"/>
    <w:rsid w:val="00152A35"/>
    <w:rsid w:val="00152EC1"/>
    <w:rsid w:val="00152F05"/>
    <w:rsid w:val="0018352B"/>
    <w:rsid w:val="001847E4"/>
    <w:rsid w:val="0018720F"/>
    <w:rsid w:val="0019046E"/>
    <w:rsid w:val="0019465E"/>
    <w:rsid w:val="00197FDF"/>
    <w:rsid w:val="001A1081"/>
    <w:rsid w:val="001A1385"/>
    <w:rsid w:val="001A2F1D"/>
    <w:rsid w:val="001A58E9"/>
    <w:rsid w:val="001C2785"/>
    <w:rsid w:val="001C306B"/>
    <w:rsid w:val="001D57E4"/>
    <w:rsid w:val="001D6868"/>
    <w:rsid w:val="002011A6"/>
    <w:rsid w:val="00206E1E"/>
    <w:rsid w:val="0020748D"/>
    <w:rsid w:val="00212D3E"/>
    <w:rsid w:val="00214237"/>
    <w:rsid w:val="00216227"/>
    <w:rsid w:val="00217689"/>
    <w:rsid w:val="0022437C"/>
    <w:rsid w:val="00235997"/>
    <w:rsid w:val="002401C4"/>
    <w:rsid w:val="0024063F"/>
    <w:rsid w:val="002472C4"/>
    <w:rsid w:val="00255DB5"/>
    <w:rsid w:val="002576AD"/>
    <w:rsid w:val="002578BB"/>
    <w:rsid w:val="00281B78"/>
    <w:rsid w:val="002B00EB"/>
    <w:rsid w:val="002B0B7E"/>
    <w:rsid w:val="002B6575"/>
    <w:rsid w:val="002B7218"/>
    <w:rsid w:val="002D09F2"/>
    <w:rsid w:val="002D0A0A"/>
    <w:rsid w:val="002D6EFB"/>
    <w:rsid w:val="002E44F5"/>
    <w:rsid w:val="002E527C"/>
    <w:rsid w:val="002E56C0"/>
    <w:rsid w:val="002F10E3"/>
    <w:rsid w:val="002F1BC8"/>
    <w:rsid w:val="002F6071"/>
    <w:rsid w:val="002F695C"/>
    <w:rsid w:val="00306B86"/>
    <w:rsid w:val="0030752E"/>
    <w:rsid w:val="00314369"/>
    <w:rsid w:val="003152C3"/>
    <w:rsid w:val="0032150C"/>
    <w:rsid w:val="0032541E"/>
    <w:rsid w:val="00326A04"/>
    <w:rsid w:val="00336EBA"/>
    <w:rsid w:val="0033771C"/>
    <w:rsid w:val="00341F7E"/>
    <w:rsid w:val="00375DC3"/>
    <w:rsid w:val="00391F17"/>
    <w:rsid w:val="003A15C8"/>
    <w:rsid w:val="003A4413"/>
    <w:rsid w:val="003A6415"/>
    <w:rsid w:val="003B1D88"/>
    <w:rsid w:val="003B52F4"/>
    <w:rsid w:val="003C0561"/>
    <w:rsid w:val="003C1DE1"/>
    <w:rsid w:val="003D5FDA"/>
    <w:rsid w:val="00403154"/>
    <w:rsid w:val="00406C9A"/>
    <w:rsid w:val="0041043A"/>
    <w:rsid w:val="00416E82"/>
    <w:rsid w:val="00425C19"/>
    <w:rsid w:val="00427A82"/>
    <w:rsid w:val="00441219"/>
    <w:rsid w:val="00441900"/>
    <w:rsid w:val="0044766A"/>
    <w:rsid w:val="004602A5"/>
    <w:rsid w:val="00460B69"/>
    <w:rsid w:val="0046300F"/>
    <w:rsid w:val="00477ED2"/>
    <w:rsid w:val="0049390F"/>
    <w:rsid w:val="00497067"/>
    <w:rsid w:val="004A01EB"/>
    <w:rsid w:val="004A54E9"/>
    <w:rsid w:val="004A7FCE"/>
    <w:rsid w:val="004B2D48"/>
    <w:rsid w:val="004D595D"/>
    <w:rsid w:val="004D7256"/>
    <w:rsid w:val="004E1D73"/>
    <w:rsid w:val="004E5ED1"/>
    <w:rsid w:val="004F5CA4"/>
    <w:rsid w:val="00507002"/>
    <w:rsid w:val="00514913"/>
    <w:rsid w:val="00515425"/>
    <w:rsid w:val="005268CB"/>
    <w:rsid w:val="00554537"/>
    <w:rsid w:val="0055743C"/>
    <w:rsid w:val="0056498F"/>
    <w:rsid w:val="00564D0F"/>
    <w:rsid w:val="005674AC"/>
    <w:rsid w:val="005735B8"/>
    <w:rsid w:val="00593CC5"/>
    <w:rsid w:val="005A6DFC"/>
    <w:rsid w:val="005A7231"/>
    <w:rsid w:val="005A7BC7"/>
    <w:rsid w:val="005C1E7E"/>
    <w:rsid w:val="005C3AC2"/>
    <w:rsid w:val="005D2954"/>
    <w:rsid w:val="005D6094"/>
    <w:rsid w:val="005E27CB"/>
    <w:rsid w:val="005E4E81"/>
    <w:rsid w:val="005E58B6"/>
    <w:rsid w:val="005F2318"/>
    <w:rsid w:val="0060556A"/>
    <w:rsid w:val="006148BF"/>
    <w:rsid w:val="0062468E"/>
    <w:rsid w:val="00636A5A"/>
    <w:rsid w:val="006404AA"/>
    <w:rsid w:val="0065081C"/>
    <w:rsid w:val="00651FE1"/>
    <w:rsid w:val="00670060"/>
    <w:rsid w:val="00672E76"/>
    <w:rsid w:val="00690BE4"/>
    <w:rsid w:val="006A7375"/>
    <w:rsid w:val="006B2CAA"/>
    <w:rsid w:val="006B6691"/>
    <w:rsid w:val="006C043E"/>
    <w:rsid w:val="006D6920"/>
    <w:rsid w:val="006F5521"/>
    <w:rsid w:val="00703791"/>
    <w:rsid w:val="0071058B"/>
    <w:rsid w:val="00720B73"/>
    <w:rsid w:val="00723F81"/>
    <w:rsid w:val="00724B61"/>
    <w:rsid w:val="00733DCF"/>
    <w:rsid w:val="00740392"/>
    <w:rsid w:val="00750DE7"/>
    <w:rsid w:val="0075234D"/>
    <w:rsid w:val="00753A3E"/>
    <w:rsid w:val="00780283"/>
    <w:rsid w:val="00781F58"/>
    <w:rsid w:val="007851D0"/>
    <w:rsid w:val="00797C5B"/>
    <w:rsid w:val="007A1466"/>
    <w:rsid w:val="007A7627"/>
    <w:rsid w:val="007B2477"/>
    <w:rsid w:val="007D52A7"/>
    <w:rsid w:val="007E3E53"/>
    <w:rsid w:val="00813886"/>
    <w:rsid w:val="00813BB6"/>
    <w:rsid w:val="00835615"/>
    <w:rsid w:val="00845831"/>
    <w:rsid w:val="008460D0"/>
    <w:rsid w:val="00856A25"/>
    <w:rsid w:val="008668F7"/>
    <w:rsid w:val="00876042"/>
    <w:rsid w:val="00881695"/>
    <w:rsid w:val="00896A80"/>
    <w:rsid w:val="008B1199"/>
    <w:rsid w:val="008B211E"/>
    <w:rsid w:val="008B611E"/>
    <w:rsid w:val="008D4274"/>
    <w:rsid w:val="008E3E6D"/>
    <w:rsid w:val="008F1EF4"/>
    <w:rsid w:val="008F2C5F"/>
    <w:rsid w:val="008F5663"/>
    <w:rsid w:val="00903E15"/>
    <w:rsid w:val="00931F35"/>
    <w:rsid w:val="009451ED"/>
    <w:rsid w:val="00966F08"/>
    <w:rsid w:val="0097295C"/>
    <w:rsid w:val="00977DD7"/>
    <w:rsid w:val="00980206"/>
    <w:rsid w:val="00982E54"/>
    <w:rsid w:val="00984A79"/>
    <w:rsid w:val="00986616"/>
    <w:rsid w:val="0099134E"/>
    <w:rsid w:val="00995C76"/>
    <w:rsid w:val="009B2277"/>
    <w:rsid w:val="009B6AF0"/>
    <w:rsid w:val="009B6CDF"/>
    <w:rsid w:val="009B6D7F"/>
    <w:rsid w:val="009B7A73"/>
    <w:rsid w:val="009D1CFF"/>
    <w:rsid w:val="009D49B5"/>
    <w:rsid w:val="009F1A7D"/>
    <w:rsid w:val="00A05A26"/>
    <w:rsid w:val="00A215EB"/>
    <w:rsid w:val="00A2510F"/>
    <w:rsid w:val="00A3270C"/>
    <w:rsid w:val="00A5153A"/>
    <w:rsid w:val="00A52FEC"/>
    <w:rsid w:val="00A55116"/>
    <w:rsid w:val="00A63C6D"/>
    <w:rsid w:val="00A66AB0"/>
    <w:rsid w:val="00A72102"/>
    <w:rsid w:val="00A775A2"/>
    <w:rsid w:val="00A801FE"/>
    <w:rsid w:val="00A950EF"/>
    <w:rsid w:val="00AB009C"/>
    <w:rsid w:val="00AE71F4"/>
    <w:rsid w:val="00AE7539"/>
    <w:rsid w:val="00B030FB"/>
    <w:rsid w:val="00B213DC"/>
    <w:rsid w:val="00B23377"/>
    <w:rsid w:val="00B32B94"/>
    <w:rsid w:val="00B4477F"/>
    <w:rsid w:val="00B46576"/>
    <w:rsid w:val="00B545B0"/>
    <w:rsid w:val="00B55C6A"/>
    <w:rsid w:val="00B566D2"/>
    <w:rsid w:val="00B66B0D"/>
    <w:rsid w:val="00B714F8"/>
    <w:rsid w:val="00B73B0B"/>
    <w:rsid w:val="00B801AC"/>
    <w:rsid w:val="00B80387"/>
    <w:rsid w:val="00B964F2"/>
    <w:rsid w:val="00BA06BD"/>
    <w:rsid w:val="00BA0E98"/>
    <w:rsid w:val="00BB0A5D"/>
    <w:rsid w:val="00BB72A8"/>
    <w:rsid w:val="00BC7D99"/>
    <w:rsid w:val="00BD470D"/>
    <w:rsid w:val="00BE442C"/>
    <w:rsid w:val="00BE49DC"/>
    <w:rsid w:val="00BE5DA1"/>
    <w:rsid w:val="00C11C9C"/>
    <w:rsid w:val="00C149D4"/>
    <w:rsid w:val="00C16DF4"/>
    <w:rsid w:val="00C17E84"/>
    <w:rsid w:val="00C24351"/>
    <w:rsid w:val="00C37360"/>
    <w:rsid w:val="00C55DEB"/>
    <w:rsid w:val="00C67F0E"/>
    <w:rsid w:val="00C71659"/>
    <w:rsid w:val="00C72FAA"/>
    <w:rsid w:val="00C75A6F"/>
    <w:rsid w:val="00C8061B"/>
    <w:rsid w:val="00C910A9"/>
    <w:rsid w:val="00C914F7"/>
    <w:rsid w:val="00CA02D5"/>
    <w:rsid w:val="00CB01CA"/>
    <w:rsid w:val="00CB5A74"/>
    <w:rsid w:val="00CD7ED3"/>
    <w:rsid w:val="00CD7EE7"/>
    <w:rsid w:val="00CE1C59"/>
    <w:rsid w:val="00CE7720"/>
    <w:rsid w:val="00CF22FE"/>
    <w:rsid w:val="00CF2356"/>
    <w:rsid w:val="00CF23B4"/>
    <w:rsid w:val="00CF2B8E"/>
    <w:rsid w:val="00CF7920"/>
    <w:rsid w:val="00D00BD8"/>
    <w:rsid w:val="00D0520A"/>
    <w:rsid w:val="00D06DA2"/>
    <w:rsid w:val="00D3479C"/>
    <w:rsid w:val="00D4035A"/>
    <w:rsid w:val="00D444B5"/>
    <w:rsid w:val="00D56D55"/>
    <w:rsid w:val="00D6072A"/>
    <w:rsid w:val="00D81598"/>
    <w:rsid w:val="00D8431F"/>
    <w:rsid w:val="00D97853"/>
    <w:rsid w:val="00DA39C0"/>
    <w:rsid w:val="00DB1350"/>
    <w:rsid w:val="00DD355B"/>
    <w:rsid w:val="00DE113E"/>
    <w:rsid w:val="00DE1CD2"/>
    <w:rsid w:val="00DE6951"/>
    <w:rsid w:val="00DF73AB"/>
    <w:rsid w:val="00E06219"/>
    <w:rsid w:val="00E12BE8"/>
    <w:rsid w:val="00E1523A"/>
    <w:rsid w:val="00E20DB6"/>
    <w:rsid w:val="00E21705"/>
    <w:rsid w:val="00E252EF"/>
    <w:rsid w:val="00E3537E"/>
    <w:rsid w:val="00E37AF2"/>
    <w:rsid w:val="00E41FA7"/>
    <w:rsid w:val="00E555EB"/>
    <w:rsid w:val="00E60918"/>
    <w:rsid w:val="00E64484"/>
    <w:rsid w:val="00E93587"/>
    <w:rsid w:val="00EA624D"/>
    <w:rsid w:val="00EA7029"/>
    <w:rsid w:val="00EA77DD"/>
    <w:rsid w:val="00EA7AD5"/>
    <w:rsid w:val="00EC442C"/>
    <w:rsid w:val="00ED0089"/>
    <w:rsid w:val="00EE5CCB"/>
    <w:rsid w:val="00EF2A32"/>
    <w:rsid w:val="00F318B2"/>
    <w:rsid w:val="00F332EA"/>
    <w:rsid w:val="00F402D3"/>
    <w:rsid w:val="00F44A5B"/>
    <w:rsid w:val="00F53039"/>
    <w:rsid w:val="00F54952"/>
    <w:rsid w:val="00F8286C"/>
    <w:rsid w:val="00F82D4F"/>
    <w:rsid w:val="00F91A33"/>
    <w:rsid w:val="00F9619B"/>
    <w:rsid w:val="00FB77DA"/>
    <w:rsid w:val="00FE1457"/>
    <w:rsid w:val="00FF1103"/>
    <w:rsid w:val="00FF18A8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343F8-26A2-4629-B0BD-182ABC30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0918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252EF"/>
    <w:pPr>
      <w:ind w:left="720"/>
      <w:contextualSpacing/>
    </w:pPr>
  </w:style>
  <w:style w:type="table" w:styleId="Rcsostblzat">
    <w:name w:val="Table Grid"/>
    <w:basedOn w:val="Normltblzat"/>
    <w:uiPriority w:val="59"/>
    <w:rsid w:val="008F1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08443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8443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8443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8443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84430"/>
    <w:rPr>
      <w:b/>
      <w:bCs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4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443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8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-munkalap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-munkalap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446522309711293"/>
          <c:y val="5.0925925925925923E-2"/>
          <c:w val="0.68881955380577453"/>
          <c:h val="0.708193715368912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'Egytény-s var.a'!$D$198</c:f>
              <c:strCache>
                <c:ptCount val="1"/>
                <c:pt idx="0">
                  <c:v>Júniusi tünetes tőke</c:v>
                </c:pt>
              </c:strCache>
            </c:strRef>
          </c:tx>
          <c:spPr>
            <a:pattFill prst="smCheck">
              <a:fgClr>
                <a:schemeClr val="bg1">
                  <a:lumMod val="50000"/>
                </a:schemeClr>
              </a:fgClr>
              <a:bgClr>
                <a:schemeClr val="bg1"/>
              </a:bgClr>
            </a:pattFill>
          </c:spPr>
          <c:invertIfNegative val="0"/>
          <c:cat>
            <c:multiLvlStrRef>
              <c:f>'Egytény-s var.a'!$B$199:$C$207</c:f>
              <c:multiLvlStrCache>
                <c:ptCount val="9"/>
                <c:lvl>
                  <c:pt idx="0">
                    <c:v>2013</c:v>
                  </c:pt>
                  <c:pt idx="1">
                    <c:v>2014</c:v>
                  </c:pt>
                  <c:pt idx="2">
                    <c:v>2015</c:v>
                  </c:pt>
                  <c:pt idx="3">
                    <c:v>2013</c:v>
                  </c:pt>
                  <c:pt idx="4">
                    <c:v>2014</c:v>
                  </c:pt>
                  <c:pt idx="5">
                    <c:v>2015</c:v>
                  </c:pt>
                  <c:pt idx="6">
                    <c:v>2013</c:v>
                  </c:pt>
                  <c:pt idx="7">
                    <c:v>2014</c:v>
                  </c:pt>
                  <c:pt idx="8">
                    <c:v>2015</c:v>
                  </c:pt>
                </c:lvl>
                <c:lvl>
                  <c:pt idx="0">
                    <c:v>Cabernet sauvignon</c:v>
                  </c:pt>
                  <c:pt idx="3">
                    <c:v>Cirfandli</c:v>
                  </c:pt>
                  <c:pt idx="6">
                    <c:v>Merlot</c:v>
                  </c:pt>
                </c:lvl>
              </c:multiLvlStrCache>
            </c:multiLvlStrRef>
          </c:cat>
          <c:val>
            <c:numRef>
              <c:f>'Egytény-s var.a'!$D$199:$D$207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29</c:v>
                </c:pt>
                <c:pt idx="3">
                  <c:v>0</c:v>
                </c:pt>
                <c:pt idx="4">
                  <c:v>0</c:v>
                </c:pt>
                <c:pt idx="5">
                  <c:v>22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</c:numCache>
            </c:numRef>
          </c:val>
        </c:ser>
        <c:ser>
          <c:idx val="1"/>
          <c:order val="1"/>
          <c:tx>
            <c:strRef>
              <c:f>'Egytény-s var.a'!$E$198</c:f>
              <c:strCache>
                <c:ptCount val="1"/>
                <c:pt idx="0">
                  <c:v> Késői tünetes tőke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multiLvlStrRef>
              <c:f>'Egytény-s var.a'!$B$199:$C$207</c:f>
              <c:multiLvlStrCache>
                <c:ptCount val="9"/>
                <c:lvl>
                  <c:pt idx="0">
                    <c:v>2013</c:v>
                  </c:pt>
                  <c:pt idx="1">
                    <c:v>2014</c:v>
                  </c:pt>
                  <c:pt idx="2">
                    <c:v>2015</c:v>
                  </c:pt>
                  <c:pt idx="3">
                    <c:v>2013</c:v>
                  </c:pt>
                  <c:pt idx="4">
                    <c:v>2014</c:v>
                  </c:pt>
                  <c:pt idx="5">
                    <c:v>2015</c:v>
                  </c:pt>
                  <c:pt idx="6">
                    <c:v>2013</c:v>
                  </c:pt>
                  <c:pt idx="7">
                    <c:v>2014</c:v>
                  </c:pt>
                  <c:pt idx="8">
                    <c:v>2015</c:v>
                  </c:pt>
                </c:lvl>
                <c:lvl>
                  <c:pt idx="0">
                    <c:v>Cabernet sauvignon</c:v>
                  </c:pt>
                  <c:pt idx="3">
                    <c:v>Cirfandli</c:v>
                  </c:pt>
                  <c:pt idx="6">
                    <c:v>Merlot</c:v>
                  </c:pt>
                </c:lvl>
              </c:multiLvlStrCache>
            </c:multiLvlStrRef>
          </c:cat>
          <c:val>
            <c:numRef>
              <c:f>'Egytény-s var.a'!$E$199:$E$207</c:f>
              <c:numCache>
                <c:formatCode>General</c:formatCode>
                <c:ptCount val="9"/>
                <c:pt idx="0">
                  <c:v>16</c:v>
                </c:pt>
                <c:pt idx="1">
                  <c:v>190</c:v>
                </c:pt>
                <c:pt idx="2">
                  <c:v>78</c:v>
                </c:pt>
                <c:pt idx="3">
                  <c:v>0</c:v>
                </c:pt>
                <c:pt idx="4">
                  <c:v>176</c:v>
                </c:pt>
                <c:pt idx="5">
                  <c:v>91</c:v>
                </c:pt>
                <c:pt idx="6">
                  <c:v>0</c:v>
                </c:pt>
                <c:pt idx="7">
                  <c:v>9</c:v>
                </c:pt>
                <c:pt idx="8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663424832"/>
        <c:axId val="-1663415584"/>
      </c:barChart>
      <c:catAx>
        <c:axId val="-16634248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hu-HU"/>
          </a:p>
        </c:txPr>
        <c:crossAx val="-1663415584"/>
        <c:crosses val="autoZero"/>
        <c:auto val="1"/>
        <c:lblAlgn val="ctr"/>
        <c:lblOffset val="100"/>
        <c:noMultiLvlLbl val="0"/>
      </c:catAx>
      <c:valAx>
        <c:axId val="-16634155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hu-HU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Esca/BDA</a:t>
                </a:r>
                <a:r>
                  <a:rPr lang="hu-HU" b="1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tüneteket mutató tőkék száma</a:t>
                </a:r>
              </a:p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hu-HU" b="1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"/>
              <c:y val="0.1230318606007582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hu-HU"/>
          </a:p>
        </c:txPr>
        <c:crossAx val="-16634248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384033245844323"/>
          <c:y val="0.29183253135024811"/>
          <c:w val="0.17227077865266838"/>
          <c:h val="0.43948308544765258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hu-H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047125668543334"/>
          <c:y val="3.1191515907673138E-2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hu-H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'Fajták, alanyok'!$C$146</c:f>
              <c:strCache>
                <c:ptCount val="1"/>
                <c:pt idx="0">
                  <c:v>Cabernet sauvignon</c:v>
                </c:pt>
              </c:strCache>
            </c:strRef>
          </c:tx>
          <c:dPt>
            <c:idx val="0"/>
            <c:bubble3D val="0"/>
            <c:spPr>
              <a:pattFill prst="zigZag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1"/>
            <c:bubble3D val="0"/>
            <c:spPr>
              <a:pattFill prst="pct10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2"/>
            <c:bubble3D val="0"/>
            <c:spPr>
              <a:pattFill prst="horzBrick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3"/>
            <c:bubble3D val="0"/>
            <c:spPr>
              <a:pattFill prst="dashHorz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4"/>
            <c:bubble3D val="0"/>
            <c:spPr>
              <a:pattFill prst="pct40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5"/>
            <c:bubble3D val="0"/>
            <c:spPr>
              <a:pattFill prst="dkVert">
                <a:fgClr>
                  <a:schemeClr val="tx1"/>
                </a:fgClr>
                <a:bgClr>
                  <a:schemeClr val="bg1"/>
                </a:bgClr>
              </a:pattFill>
            </c:spPr>
          </c:dPt>
          <c:cat>
            <c:strRef>
              <c:f>'Fajták, alanyok'!$B$147:$B$152</c:f>
              <c:strCache>
                <c:ptCount val="6"/>
                <c:pt idx="0">
                  <c:v>1:1 termőalapon krónikus Esca tünet</c:v>
                </c:pt>
                <c:pt idx="1">
                  <c:v>2: 1 termőalapon akut Esca tünet</c:v>
                </c:pt>
                <c:pt idx="2">
                  <c:v>3: a tőke felén krónikus Esca tünet</c:v>
                </c:pt>
                <c:pt idx="3">
                  <c:v>4: a tőke felén akut Esca tünet</c:v>
                </c:pt>
                <c:pt idx="4">
                  <c:v>5: teljes tőkén krónikus Esca tünet</c:v>
                </c:pt>
                <c:pt idx="5">
                  <c:v>6: teljes tőkén akut Esca tünet</c:v>
                </c:pt>
              </c:strCache>
            </c:strRef>
          </c:cat>
          <c:val>
            <c:numRef>
              <c:f>'Fajták, alanyok'!$C$147:$C$152</c:f>
              <c:numCache>
                <c:formatCode>General</c:formatCode>
                <c:ptCount val="6"/>
                <c:pt idx="0">
                  <c:v>24</c:v>
                </c:pt>
                <c:pt idx="1">
                  <c:v>3</c:v>
                </c:pt>
                <c:pt idx="2">
                  <c:v>24</c:v>
                </c:pt>
                <c:pt idx="3">
                  <c:v>8</c:v>
                </c:pt>
                <c:pt idx="4">
                  <c:v>54</c:v>
                </c:pt>
                <c:pt idx="5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57222222222222219"/>
          <c:y val="0.13079865164941121"/>
          <c:w val="0.41111111111111109"/>
          <c:h val="0.831967619768053"/>
        </c:manualLayout>
      </c:layout>
      <c:overlay val="0"/>
      <c:txPr>
        <a:bodyPr/>
        <a:lstStyle/>
        <a:p>
          <a:pPr>
            <a:defRPr sz="10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hu-H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1328</Words>
  <Characters>8185</Characters>
  <Application>Microsoft Office Word</Application>
  <DocSecurity>0</DocSecurity>
  <Lines>430</Lines>
  <Paragraphs>250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SZBKI</Company>
  <LinksUpToDate>false</LinksUpToDate>
  <CharactersWithSpaces>9263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 László</dc:creator>
  <cp:lastModifiedBy>Tottiata</cp:lastModifiedBy>
  <cp:revision>2</cp:revision>
  <cp:lastPrinted>2015-12-03T10:06:00Z</cp:lastPrinted>
  <dcterms:created xsi:type="dcterms:W3CDTF">2017-11-14T21:34:00Z</dcterms:created>
  <dcterms:modified xsi:type="dcterms:W3CDTF">2017-11-14T21:34:00Z</dcterms:modified>
</cp:coreProperties>
</file>